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D3C" w:rsidRDefault="005E0D3C" w:rsidP="00FD5D81">
      <w:pPr>
        <w:spacing w:line="240" w:lineRule="auto"/>
        <w:contextualSpacing/>
        <w:rPr>
          <w:rFonts w:ascii="Arial" w:hAnsi="Arial" w:cs="Arial"/>
          <w:color w:val="000000"/>
          <w:sz w:val="20"/>
          <w:szCs w:val="20"/>
        </w:rPr>
      </w:pPr>
    </w:p>
    <w:p w:rsidR="005E0D3C" w:rsidRDefault="005E0D3C" w:rsidP="005E0D3C">
      <w:pPr>
        <w:spacing w:line="240" w:lineRule="auto"/>
        <w:contextualSpacing/>
        <w:rPr>
          <w:rFonts w:ascii="Arial" w:hAnsi="Arial" w:cs="Arial"/>
          <w:color w:val="000000"/>
          <w:sz w:val="20"/>
          <w:szCs w:val="20"/>
        </w:rPr>
      </w:pPr>
      <w:r>
        <w:rPr>
          <w:rFonts w:ascii="Arial" w:hAnsi="Arial" w:cs="Arial"/>
          <w:color w:val="000000"/>
          <w:sz w:val="20"/>
          <w:szCs w:val="20"/>
        </w:rPr>
        <w:t>The best care of patients has been and always will be the primary mission of the Myeloma Institute for Research and Therapy (MIRT) at the University of Arkansas for Medical Sciences (UAMS). For more than 20 years we have focused our entire effort on improving the outlook for patients with multiple myeloma and related diseases.</w:t>
      </w:r>
      <w:r w:rsidRPr="005E0D3C">
        <w:rPr>
          <w:rFonts w:ascii="Arial" w:hAnsi="Arial" w:cs="Arial"/>
          <w:color w:val="000000"/>
          <w:sz w:val="20"/>
          <w:szCs w:val="20"/>
        </w:rPr>
        <w:t xml:space="preserve"> </w:t>
      </w:r>
      <w:r w:rsidRPr="00FD5D81">
        <w:rPr>
          <w:rFonts w:ascii="Arial" w:hAnsi="Arial" w:cs="Arial"/>
          <w:color w:val="000000"/>
          <w:sz w:val="20"/>
          <w:szCs w:val="20"/>
        </w:rPr>
        <w:t xml:space="preserve">By posting to this blog, we wish to assure </w:t>
      </w:r>
      <w:r>
        <w:rPr>
          <w:rFonts w:ascii="Arial" w:hAnsi="Arial" w:cs="Arial"/>
          <w:color w:val="000000"/>
          <w:sz w:val="20"/>
          <w:szCs w:val="20"/>
        </w:rPr>
        <w:t>patients and their families</w:t>
      </w:r>
      <w:r w:rsidRPr="00FD5D81">
        <w:rPr>
          <w:rFonts w:ascii="Arial" w:hAnsi="Arial" w:cs="Arial"/>
          <w:color w:val="000000"/>
          <w:sz w:val="20"/>
          <w:szCs w:val="20"/>
        </w:rPr>
        <w:t xml:space="preserve"> that we are totally committed to careful analysis of outcome data, with the ultimate goals of ensuring patient safety and fostering optimal care outcomes. </w:t>
      </w:r>
    </w:p>
    <w:p w:rsidR="00B80386" w:rsidRPr="00FD5D81" w:rsidRDefault="00B80386" w:rsidP="00FD5D81">
      <w:pPr>
        <w:spacing w:line="240" w:lineRule="auto"/>
        <w:contextualSpacing/>
        <w:rPr>
          <w:rFonts w:ascii="Arial" w:hAnsi="Arial" w:cs="Arial"/>
          <w:sz w:val="20"/>
          <w:szCs w:val="20"/>
        </w:rPr>
      </w:pPr>
    </w:p>
    <w:p w:rsidR="00EE6200" w:rsidRPr="00FD5D81" w:rsidRDefault="00D26BEC" w:rsidP="00FD5D81">
      <w:pPr>
        <w:spacing w:line="240" w:lineRule="auto"/>
        <w:contextualSpacing/>
        <w:rPr>
          <w:rFonts w:ascii="Arial" w:hAnsi="Arial" w:cs="Arial"/>
          <w:sz w:val="20"/>
          <w:szCs w:val="20"/>
        </w:rPr>
      </w:pPr>
      <w:r w:rsidRPr="00FD5D81">
        <w:rPr>
          <w:rFonts w:ascii="Arial" w:hAnsi="Arial" w:cs="Arial"/>
          <w:sz w:val="20"/>
          <w:szCs w:val="20"/>
        </w:rPr>
        <w:t>Unquestionably, the</w:t>
      </w:r>
      <w:r w:rsidR="001506BB" w:rsidRPr="00FD5D81">
        <w:rPr>
          <w:rFonts w:ascii="Arial" w:hAnsi="Arial" w:cs="Arial"/>
          <w:sz w:val="20"/>
          <w:szCs w:val="20"/>
        </w:rPr>
        <w:t xml:space="preserve"> </w:t>
      </w:r>
      <w:r w:rsidR="00EE6200" w:rsidRPr="00FD5D81">
        <w:rPr>
          <w:rFonts w:ascii="Arial" w:hAnsi="Arial" w:cs="Arial"/>
          <w:sz w:val="20"/>
          <w:szCs w:val="20"/>
        </w:rPr>
        <w:t>most important endpoint for judgment of outcomes from myeloma clinical trials is overall survival</w:t>
      </w:r>
      <w:r w:rsidR="00917852" w:rsidRPr="00FD5D81">
        <w:rPr>
          <w:rFonts w:ascii="Arial" w:hAnsi="Arial" w:cs="Arial"/>
          <w:sz w:val="20"/>
          <w:szCs w:val="20"/>
        </w:rPr>
        <w:t>.</w:t>
      </w:r>
      <w:r w:rsidR="00EE6200" w:rsidRPr="00FD5D81">
        <w:rPr>
          <w:rFonts w:ascii="Arial" w:hAnsi="Arial" w:cs="Arial"/>
          <w:sz w:val="20"/>
          <w:szCs w:val="20"/>
        </w:rPr>
        <w:t xml:space="preserve"> From this point of view</w:t>
      </w:r>
      <w:r w:rsidR="00917852" w:rsidRPr="00FD5D81">
        <w:rPr>
          <w:rFonts w:ascii="Arial" w:hAnsi="Arial" w:cs="Arial"/>
          <w:sz w:val="20"/>
          <w:szCs w:val="20"/>
        </w:rPr>
        <w:t>,</w:t>
      </w:r>
      <w:r w:rsidR="00EE6200" w:rsidRPr="00FD5D81">
        <w:rPr>
          <w:rFonts w:ascii="Arial" w:hAnsi="Arial" w:cs="Arial"/>
          <w:sz w:val="20"/>
          <w:szCs w:val="20"/>
        </w:rPr>
        <w:t xml:space="preserve"> the results of Total Therapy</w:t>
      </w:r>
      <w:r w:rsidR="00917852" w:rsidRPr="00FD5D81">
        <w:rPr>
          <w:rFonts w:ascii="Arial" w:hAnsi="Arial" w:cs="Arial"/>
          <w:sz w:val="20"/>
          <w:szCs w:val="20"/>
        </w:rPr>
        <w:t xml:space="preserve"> (TT)</w:t>
      </w:r>
      <w:r w:rsidR="00EE6200" w:rsidRPr="00FD5D81">
        <w:rPr>
          <w:rFonts w:ascii="Arial" w:hAnsi="Arial" w:cs="Arial"/>
          <w:sz w:val="20"/>
          <w:szCs w:val="20"/>
        </w:rPr>
        <w:t xml:space="preserve"> </w:t>
      </w:r>
      <w:r w:rsidR="00917852" w:rsidRPr="00FD5D81">
        <w:rPr>
          <w:rFonts w:ascii="Arial" w:hAnsi="Arial" w:cs="Arial"/>
          <w:sz w:val="20"/>
          <w:szCs w:val="20"/>
        </w:rPr>
        <w:t>trials</w:t>
      </w:r>
      <w:r w:rsidR="001506BB" w:rsidRPr="00FD5D81">
        <w:rPr>
          <w:rFonts w:ascii="Arial" w:hAnsi="Arial" w:cs="Arial"/>
          <w:sz w:val="20"/>
          <w:szCs w:val="20"/>
        </w:rPr>
        <w:t xml:space="preserve"> </w:t>
      </w:r>
      <w:r w:rsidR="00EE6200" w:rsidRPr="00FD5D81">
        <w:rPr>
          <w:rFonts w:ascii="Arial" w:hAnsi="Arial" w:cs="Arial"/>
          <w:sz w:val="20"/>
          <w:szCs w:val="20"/>
        </w:rPr>
        <w:t xml:space="preserve">are among the best in </w:t>
      </w:r>
      <w:r w:rsidR="006C26E6">
        <w:rPr>
          <w:rFonts w:ascii="Arial" w:hAnsi="Arial" w:cs="Arial"/>
          <w:sz w:val="20"/>
          <w:szCs w:val="20"/>
        </w:rPr>
        <w:t xml:space="preserve">the </w:t>
      </w:r>
      <w:r w:rsidR="00EE6200" w:rsidRPr="00FD5D81">
        <w:rPr>
          <w:rFonts w:ascii="Arial" w:hAnsi="Arial" w:cs="Arial"/>
          <w:sz w:val="20"/>
          <w:szCs w:val="20"/>
        </w:rPr>
        <w:t>world and improve with each successive trial (Figure 1).</w:t>
      </w:r>
      <w:r w:rsidR="00654870" w:rsidRPr="00FD5D81">
        <w:rPr>
          <w:rFonts w:ascii="Arial" w:hAnsi="Arial" w:cs="Arial"/>
          <w:sz w:val="20"/>
          <w:szCs w:val="20"/>
        </w:rPr>
        <w:t xml:space="preserve"> </w:t>
      </w:r>
      <w:r w:rsidR="00917852" w:rsidRPr="00FD5D81">
        <w:rPr>
          <w:rFonts w:ascii="Arial" w:hAnsi="Arial" w:cs="Arial"/>
          <w:sz w:val="20"/>
          <w:szCs w:val="20"/>
        </w:rPr>
        <w:t xml:space="preserve">All </w:t>
      </w:r>
      <w:r w:rsidR="00BC67D8" w:rsidRPr="00FD5D81">
        <w:rPr>
          <w:rFonts w:ascii="Arial" w:hAnsi="Arial" w:cs="Arial"/>
          <w:sz w:val="20"/>
          <w:szCs w:val="20"/>
        </w:rPr>
        <w:t xml:space="preserve">patients </w:t>
      </w:r>
      <w:r w:rsidR="00917852" w:rsidRPr="00FD5D81">
        <w:rPr>
          <w:rFonts w:ascii="Arial" w:hAnsi="Arial" w:cs="Arial"/>
          <w:sz w:val="20"/>
          <w:szCs w:val="20"/>
        </w:rPr>
        <w:t xml:space="preserve">enrolled in clinical trials (not just TT trials) </w:t>
      </w:r>
      <w:r w:rsidR="00BC67D8" w:rsidRPr="00FD5D81">
        <w:rPr>
          <w:rFonts w:ascii="Arial" w:hAnsi="Arial" w:cs="Arial"/>
          <w:sz w:val="20"/>
          <w:szCs w:val="20"/>
        </w:rPr>
        <w:t xml:space="preserve">are </w:t>
      </w:r>
      <w:r w:rsidR="009134CE" w:rsidRPr="00FD5D81">
        <w:rPr>
          <w:rFonts w:ascii="Arial" w:hAnsi="Arial" w:cs="Arial"/>
          <w:sz w:val="20"/>
          <w:szCs w:val="20"/>
        </w:rPr>
        <w:t xml:space="preserve">closely </w:t>
      </w:r>
      <w:r w:rsidR="00BC67D8" w:rsidRPr="00FD5D81">
        <w:rPr>
          <w:rFonts w:ascii="Arial" w:hAnsi="Arial" w:cs="Arial"/>
          <w:sz w:val="20"/>
          <w:szCs w:val="20"/>
        </w:rPr>
        <w:t>followed</w:t>
      </w:r>
      <w:r w:rsidR="00917852" w:rsidRPr="00FD5D81">
        <w:rPr>
          <w:rFonts w:ascii="Arial" w:hAnsi="Arial" w:cs="Arial"/>
          <w:sz w:val="20"/>
          <w:szCs w:val="20"/>
        </w:rPr>
        <w:t xml:space="preserve">, </w:t>
      </w:r>
      <w:r w:rsidR="00BC67D8" w:rsidRPr="00FD5D81">
        <w:rPr>
          <w:rFonts w:ascii="Arial" w:hAnsi="Arial" w:cs="Arial"/>
          <w:sz w:val="20"/>
          <w:szCs w:val="20"/>
        </w:rPr>
        <w:t xml:space="preserve">even </w:t>
      </w:r>
      <w:r w:rsidR="00917852" w:rsidRPr="00FD5D81">
        <w:rPr>
          <w:rFonts w:ascii="Arial" w:hAnsi="Arial" w:cs="Arial"/>
          <w:sz w:val="20"/>
          <w:szCs w:val="20"/>
        </w:rPr>
        <w:t xml:space="preserve">when </w:t>
      </w:r>
      <w:r w:rsidR="00BC67D8" w:rsidRPr="00FD5D81">
        <w:rPr>
          <w:rFonts w:ascii="Arial" w:hAnsi="Arial" w:cs="Arial"/>
          <w:sz w:val="20"/>
          <w:szCs w:val="20"/>
        </w:rPr>
        <w:t>off therapy</w:t>
      </w:r>
      <w:r w:rsidR="0024674C" w:rsidRPr="00FD5D81">
        <w:rPr>
          <w:rFonts w:ascii="Arial" w:hAnsi="Arial" w:cs="Arial"/>
          <w:sz w:val="20"/>
          <w:szCs w:val="20"/>
        </w:rPr>
        <w:t>.</w:t>
      </w:r>
      <w:r w:rsidR="00BC67D8" w:rsidRPr="00FD5D81">
        <w:rPr>
          <w:rFonts w:ascii="Arial" w:hAnsi="Arial" w:cs="Arial"/>
          <w:sz w:val="20"/>
          <w:szCs w:val="20"/>
        </w:rPr>
        <w:t xml:space="preserve"> </w:t>
      </w:r>
      <w:r w:rsidR="0045646C" w:rsidRPr="00FD5D81">
        <w:rPr>
          <w:rFonts w:ascii="Arial" w:hAnsi="Arial" w:cs="Arial"/>
          <w:sz w:val="20"/>
          <w:szCs w:val="20"/>
        </w:rPr>
        <w:t>U</w:t>
      </w:r>
      <w:r w:rsidR="00BC67D8" w:rsidRPr="00FD5D81">
        <w:rPr>
          <w:rFonts w:ascii="Arial" w:hAnsi="Arial" w:cs="Arial"/>
          <w:sz w:val="20"/>
          <w:szCs w:val="20"/>
        </w:rPr>
        <w:t>pdates have continued for almost 23 years (Table 1).</w:t>
      </w:r>
    </w:p>
    <w:p w:rsidR="00917852" w:rsidRPr="00FD5D81" w:rsidRDefault="00917852" w:rsidP="00FD5D81">
      <w:pPr>
        <w:spacing w:line="240" w:lineRule="auto"/>
        <w:contextualSpacing/>
        <w:rPr>
          <w:rFonts w:ascii="Arial" w:hAnsi="Arial" w:cs="Arial"/>
          <w:sz w:val="20"/>
          <w:szCs w:val="20"/>
        </w:rPr>
      </w:pPr>
    </w:p>
    <w:p w:rsidR="00EE6200" w:rsidRPr="00FD5D81" w:rsidRDefault="00EE6200" w:rsidP="00FD5D81">
      <w:pPr>
        <w:spacing w:line="240" w:lineRule="auto"/>
        <w:contextualSpacing/>
        <w:rPr>
          <w:rFonts w:ascii="Arial" w:hAnsi="Arial" w:cs="Arial"/>
          <w:sz w:val="20"/>
          <w:szCs w:val="20"/>
        </w:rPr>
      </w:pPr>
      <w:r w:rsidRPr="00FD5D81">
        <w:rPr>
          <w:rFonts w:ascii="Arial" w:hAnsi="Arial" w:cs="Arial"/>
          <w:sz w:val="20"/>
          <w:szCs w:val="20"/>
        </w:rPr>
        <w:t>Classification of the cause of death is complex and difficult</w:t>
      </w:r>
      <w:r w:rsidR="00917852" w:rsidRPr="00FD5D81">
        <w:rPr>
          <w:rFonts w:ascii="Arial" w:hAnsi="Arial" w:cs="Arial"/>
          <w:sz w:val="20"/>
          <w:szCs w:val="20"/>
        </w:rPr>
        <w:t>;</w:t>
      </w:r>
      <w:r w:rsidRPr="00FD5D81">
        <w:rPr>
          <w:rFonts w:ascii="Arial" w:hAnsi="Arial" w:cs="Arial"/>
          <w:sz w:val="20"/>
          <w:szCs w:val="20"/>
        </w:rPr>
        <w:t xml:space="preserve"> </w:t>
      </w:r>
      <w:r w:rsidR="00917852" w:rsidRPr="00FD5D81">
        <w:rPr>
          <w:rFonts w:ascii="Arial" w:hAnsi="Arial" w:cs="Arial"/>
          <w:sz w:val="20"/>
          <w:szCs w:val="20"/>
        </w:rPr>
        <w:t>it</w:t>
      </w:r>
      <w:r w:rsidRPr="00FD5D81">
        <w:rPr>
          <w:rFonts w:ascii="Arial" w:hAnsi="Arial" w:cs="Arial"/>
          <w:sz w:val="20"/>
          <w:szCs w:val="20"/>
        </w:rPr>
        <w:t xml:space="preserve"> is done with </w:t>
      </w:r>
      <w:r w:rsidR="00917852" w:rsidRPr="00FD5D81">
        <w:rPr>
          <w:rFonts w:ascii="Arial" w:hAnsi="Arial" w:cs="Arial"/>
          <w:sz w:val="20"/>
          <w:szCs w:val="20"/>
        </w:rPr>
        <w:t xml:space="preserve">careful scrutinization of all available information. </w:t>
      </w:r>
      <w:r w:rsidR="001506BB" w:rsidRPr="00FD5D81">
        <w:rPr>
          <w:rFonts w:ascii="Arial" w:hAnsi="Arial" w:cs="Arial"/>
          <w:sz w:val="20"/>
          <w:szCs w:val="20"/>
        </w:rPr>
        <w:t xml:space="preserve">Analysis </w:t>
      </w:r>
      <w:r w:rsidRPr="00FD5D81">
        <w:rPr>
          <w:rFonts w:ascii="Arial" w:hAnsi="Arial" w:cs="Arial"/>
          <w:sz w:val="20"/>
          <w:szCs w:val="20"/>
        </w:rPr>
        <w:t>of deaths due to disease and</w:t>
      </w:r>
      <w:r w:rsidR="001506BB" w:rsidRPr="00FD5D81">
        <w:rPr>
          <w:rFonts w:ascii="Arial" w:hAnsi="Arial" w:cs="Arial"/>
          <w:sz w:val="20"/>
          <w:szCs w:val="20"/>
        </w:rPr>
        <w:t xml:space="preserve">/or </w:t>
      </w:r>
      <w:r w:rsidRPr="00FD5D81">
        <w:rPr>
          <w:rFonts w:ascii="Arial" w:hAnsi="Arial" w:cs="Arial"/>
          <w:sz w:val="20"/>
          <w:szCs w:val="20"/>
        </w:rPr>
        <w:t xml:space="preserve">toxicity can give important clues as to how to </w:t>
      </w:r>
      <w:r w:rsidR="00917852" w:rsidRPr="00FD5D81">
        <w:rPr>
          <w:rFonts w:ascii="Arial" w:hAnsi="Arial" w:cs="Arial"/>
          <w:sz w:val="20"/>
          <w:szCs w:val="20"/>
        </w:rPr>
        <w:t>improve future</w:t>
      </w:r>
      <w:r w:rsidR="001506BB" w:rsidRPr="00FD5D81">
        <w:rPr>
          <w:rFonts w:ascii="Arial" w:hAnsi="Arial" w:cs="Arial"/>
          <w:sz w:val="20"/>
          <w:szCs w:val="20"/>
        </w:rPr>
        <w:t xml:space="preserve"> </w:t>
      </w:r>
      <w:r w:rsidR="00917852" w:rsidRPr="00FD5D81">
        <w:rPr>
          <w:rFonts w:ascii="Arial" w:hAnsi="Arial" w:cs="Arial"/>
          <w:sz w:val="20"/>
          <w:szCs w:val="20"/>
        </w:rPr>
        <w:t>therapy.</w:t>
      </w:r>
      <w:r w:rsidRPr="00FD5D81">
        <w:rPr>
          <w:rFonts w:ascii="Arial" w:hAnsi="Arial" w:cs="Arial"/>
          <w:sz w:val="20"/>
          <w:szCs w:val="20"/>
        </w:rPr>
        <w:t xml:space="preserve"> </w:t>
      </w:r>
    </w:p>
    <w:p w:rsidR="00917852" w:rsidRPr="00FD5D81" w:rsidRDefault="00917852" w:rsidP="00FD5D81">
      <w:pPr>
        <w:spacing w:line="240" w:lineRule="auto"/>
        <w:contextualSpacing/>
        <w:rPr>
          <w:rFonts w:ascii="Arial" w:hAnsi="Arial" w:cs="Arial"/>
          <w:sz w:val="20"/>
          <w:szCs w:val="20"/>
        </w:rPr>
      </w:pPr>
    </w:p>
    <w:p w:rsidR="00EE6200" w:rsidRPr="00FD5D81" w:rsidRDefault="00EE6200" w:rsidP="00FD5D81">
      <w:pPr>
        <w:spacing w:line="240" w:lineRule="auto"/>
        <w:contextualSpacing/>
        <w:rPr>
          <w:rFonts w:ascii="Arial" w:hAnsi="Arial" w:cs="Arial"/>
          <w:sz w:val="20"/>
          <w:szCs w:val="20"/>
        </w:rPr>
      </w:pPr>
      <w:r w:rsidRPr="00FD5D81">
        <w:rPr>
          <w:rFonts w:ascii="Arial" w:hAnsi="Arial" w:cs="Arial"/>
          <w:sz w:val="20"/>
          <w:szCs w:val="20"/>
        </w:rPr>
        <w:t xml:space="preserve">The </w:t>
      </w:r>
      <w:r w:rsidR="004025E9" w:rsidRPr="00FD5D81">
        <w:rPr>
          <w:rFonts w:ascii="Arial" w:hAnsi="Arial" w:cs="Arial"/>
          <w:sz w:val="20"/>
          <w:szCs w:val="20"/>
        </w:rPr>
        <w:t>arguments</w:t>
      </w:r>
      <w:r w:rsidRPr="00FD5D81">
        <w:rPr>
          <w:rFonts w:ascii="Arial" w:hAnsi="Arial" w:cs="Arial"/>
          <w:sz w:val="20"/>
          <w:szCs w:val="20"/>
        </w:rPr>
        <w:t xml:space="preserve"> made in the post</w:t>
      </w:r>
      <w:r w:rsidR="000650B0" w:rsidRPr="00FD5D81">
        <w:rPr>
          <w:rFonts w:ascii="Arial" w:hAnsi="Arial" w:cs="Arial"/>
          <w:sz w:val="20"/>
          <w:szCs w:val="20"/>
        </w:rPr>
        <w:t>ed report</w:t>
      </w:r>
      <w:r w:rsidRPr="00FD5D81">
        <w:rPr>
          <w:rFonts w:ascii="Arial" w:hAnsi="Arial" w:cs="Arial"/>
          <w:sz w:val="20"/>
          <w:szCs w:val="20"/>
        </w:rPr>
        <w:t xml:space="preserve"> about causes of </w:t>
      </w:r>
      <w:r w:rsidR="00917852" w:rsidRPr="00FD5D81">
        <w:rPr>
          <w:rFonts w:ascii="Arial" w:hAnsi="Arial" w:cs="Arial"/>
          <w:sz w:val="20"/>
          <w:szCs w:val="20"/>
        </w:rPr>
        <w:t>death</w:t>
      </w:r>
      <w:r w:rsidRPr="00FD5D81">
        <w:rPr>
          <w:rFonts w:ascii="Arial" w:hAnsi="Arial" w:cs="Arial"/>
          <w:sz w:val="20"/>
          <w:szCs w:val="20"/>
        </w:rPr>
        <w:t xml:space="preserve"> in </w:t>
      </w:r>
      <w:r w:rsidR="00917852" w:rsidRPr="00FD5D81">
        <w:rPr>
          <w:rFonts w:ascii="Arial" w:hAnsi="Arial" w:cs="Arial"/>
          <w:sz w:val="20"/>
          <w:szCs w:val="20"/>
        </w:rPr>
        <w:t>TT</w:t>
      </w:r>
      <w:r w:rsidR="001506BB" w:rsidRPr="00FD5D81">
        <w:rPr>
          <w:rFonts w:ascii="Arial" w:hAnsi="Arial" w:cs="Arial"/>
          <w:sz w:val="20"/>
          <w:szCs w:val="20"/>
        </w:rPr>
        <w:t xml:space="preserve"> </w:t>
      </w:r>
      <w:r w:rsidRPr="00FD5D81">
        <w:rPr>
          <w:rFonts w:ascii="Arial" w:hAnsi="Arial" w:cs="Arial"/>
          <w:sz w:val="20"/>
          <w:szCs w:val="20"/>
        </w:rPr>
        <w:t>trials are inaccurate and misleading. The non</w:t>
      </w:r>
      <w:r w:rsidR="00917852" w:rsidRPr="00FD5D81">
        <w:rPr>
          <w:rFonts w:ascii="Arial" w:hAnsi="Arial" w:cs="Arial"/>
          <w:sz w:val="20"/>
          <w:szCs w:val="20"/>
        </w:rPr>
        <w:t>-</w:t>
      </w:r>
      <w:r w:rsidRPr="00FD5D81">
        <w:rPr>
          <w:rFonts w:ascii="Arial" w:hAnsi="Arial" w:cs="Arial"/>
          <w:sz w:val="20"/>
          <w:szCs w:val="20"/>
        </w:rPr>
        <w:t xml:space="preserve">myeloma trials cited </w:t>
      </w:r>
      <w:r w:rsidR="00654870" w:rsidRPr="00FD5D81">
        <w:rPr>
          <w:rFonts w:ascii="Arial" w:hAnsi="Arial" w:cs="Arial"/>
          <w:sz w:val="20"/>
          <w:szCs w:val="20"/>
        </w:rPr>
        <w:t xml:space="preserve">are of short duration </w:t>
      </w:r>
      <w:r w:rsidR="00917852" w:rsidRPr="00FD5D81">
        <w:rPr>
          <w:rFonts w:ascii="Arial" w:hAnsi="Arial" w:cs="Arial"/>
          <w:sz w:val="20"/>
          <w:szCs w:val="20"/>
        </w:rPr>
        <w:t>and pertain to</w:t>
      </w:r>
      <w:r w:rsidR="00654870" w:rsidRPr="00FD5D81">
        <w:rPr>
          <w:rFonts w:ascii="Arial" w:hAnsi="Arial" w:cs="Arial"/>
          <w:sz w:val="20"/>
          <w:szCs w:val="20"/>
        </w:rPr>
        <w:t xml:space="preserve"> more fatal diseases, so naturally</w:t>
      </w:r>
      <w:r w:rsidR="004025E9">
        <w:rPr>
          <w:rFonts w:ascii="Arial" w:hAnsi="Arial" w:cs="Arial"/>
          <w:sz w:val="20"/>
          <w:szCs w:val="20"/>
        </w:rPr>
        <w:t>,</w:t>
      </w:r>
      <w:r w:rsidR="00654870" w:rsidRPr="00FD5D81">
        <w:rPr>
          <w:rFonts w:ascii="Arial" w:hAnsi="Arial" w:cs="Arial"/>
          <w:sz w:val="20"/>
          <w:szCs w:val="20"/>
        </w:rPr>
        <w:t xml:space="preserve"> most deaths will be </w:t>
      </w:r>
      <w:r w:rsidR="00000AD7">
        <w:rPr>
          <w:rFonts w:ascii="Arial" w:hAnsi="Arial" w:cs="Arial"/>
          <w:sz w:val="20"/>
          <w:szCs w:val="20"/>
        </w:rPr>
        <w:t xml:space="preserve">related to </w:t>
      </w:r>
      <w:r w:rsidR="00654870" w:rsidRPr="00FD5D81">
        <w:rPr>
          <w:rFonts w:ascii="Arial" w:hAnsi="Arial" w:cs="Arial"/>
          <w:sz w:val="20"/>
          <w:szCs w:val="20"/>
        </w:rPr>
        <w:t>either treatment o</w:t>
      </w:r>
      <w:r w:rsidR="00917852" w:rsidRPr="00FD5D81">
        <w:rPr>
          <w:rFonts w:ascii="Arial" w:hAnsi="Arial" w:cs="Arial"/>
          <w:sz w:val="20"/>
          <w:szCs w:val="20"/>
        </w:rPr>
        <w:t>r</w:t>
      </w:r>
      <w:r w:rsidR="00654870" w:rsidRPr="00FD5D81">
        <w:rPr>
          <w:rFonts w:ascii="Arial" w:hAnsi="Arial" w:cs="Arial"/>
          <w:sz w:val="20"/>
          <w:szCs w:val="20"/>
        </w:rPr>
        <w:t xml:space="preserve"> toxicity. The myeloma trials cited either did not give explicit cause of death or were of shorter follow-up</w:t>
      </w:r>
      <w:r w:rsidR="00917852" w:rsidRPr="00FD5D81">
        <w:rPr>
          <w:rFonts w:ascii="Arial" w:hAnsi="Arial" w:cs="Arial"/>
          <w:sz w:val="20"/>
          <w:szCs w:val="20"/>
        </w:rPr>
        <w:t xml:space="preserve"> duration</w:t>
      </w:r>
      <w:r w:rsidR="005E0D3C">
        <w:rPr>
          <w:rFonts w:ascii="Arial" w:hAnsi="Arial" w:cs="Arial"/>
          <w:sz w:val="20"/>
          <w:szCs w:val="20"/>
        </w:rPr>
        <w:t>,</w:t>
      </w:r>
      <w:r w:rsidR="00917852" w:rsidRPr="00FD5D81">
        <w:rPr>
          <w:rFonts w:ascii="Arial" w:hAnsi="Arial" w:cs="Arial"/>
          <w:sz w:val="20"/>
          <w:szCs w:val="20"/>
        </w:rPr>
        <w:t xml:space="preserve"> </w:t>
      </w:r>
      <w:r w:rsidR="00654870" w:rsidRPr="00FD5D81">
        <w:rPr>
          <w:rFonts w:ascii="Arial" w:hAnsi="Arial" w:cs="Arial"/>
          <w:sz w:val="20"/>
          <w:szCs w:val="20"/>
        </w:rPr>
        <w:t>or both. With long</w:t>
      </w:r>
      <w:r w:rsidR="00D26BEC" w:rsidRPr="00FD5D81">
        <w:rPr>
          <w:rFonts w:ascii="Arial" w:hAnsi="Arial" w:cs="Arial"/>
          <w:sz w:val="20"/>
          <w:szCs w:val="20"/>
        </w:rPr>
        <w:t>er</w:t>
      </w:r>
      <w:r w:rsidR="00654870" w:rsidRPr="00FD5D81">
        <w:rPr>
          <w:rFonts w:ascii="Arial" w:hAnsi="Arial" w:cs="Arial"/>
          <w:sz w:val="20"/>
          <w:szCs w:val="20"/>
        </w:rPr>
        <w:t xml:space="preserve"> follow</w:t>
      </w:r>
      <w:r w:rsidR="005324B3" w:rsidRPr="00FD5D81">
        <w:rPr>
          <w:rFonts w:ascii="Arial" w:hAnsi="Arial" w:cs="Arial"/>
          <w:sz w:val="20"/>
          <w:szCs w:val="20"/>
        </w:rPr>
        <w:t>-</w:t>
      </w:r>
      <w:r w:rsidR="00654870" w:rsidRPr="00FD5D81">
        <w:rPr>
          <w:rFonts w:ascii="Arial" w:hAnsi="Arial" w:cs="Arial"/>
          <w:sz w:val="20"/>
          <w:szCs w:val="20"/>
        </w:rPr>
        <w:t>up and long</w:t>
      </w:r>
      <w:r w:rsidR="00D26BEC" w:rsidRPr="00FD5D81">
        <w:rPr>
          <w:rFonts w:ascii="Arial" w:hAnsi="Arial" w:cs="Arial"/>
          <w:sz w:val="20"/>
          <w:szCs w:val="20"/>
        </w:rPr>
        <w:t>er</w:t>
      </w:r>
      <w:r w:rsidR="00654870" w:rsidRPr="00FD5D81">
        <w:rPr>
          <w:rFonts w:ascii="Arial" w:hAnsi="Arial" w:cs="Arial"/>
          <w:sz w:val="20"/>
          <w:szCs w:val="20"/>
        </w:rPr>
        <w:t xml:space="preserve"> survival come more deaths </w:t>
      </w:r>
      <w:r w:rsidR="005E0D3C">
        <w:rPr>
          <w:rFonts w:ascii="Arial" w:hAnsi="Arial" w:cs="Arial"/>
          <w:sz w:val="20"/>
          <w:szCs w:val="20"/>
        </w:rPr>
        <w:t>related to</w:t>
      </w:r>
      <w:r w:rsidR="00654870" w:rsidRPr="00FD5D81">
        <w:rPr>
          <w:rFonts w:ascii="Arial" w:hAnsi="Arial" w:cs="Arial"/>
          <w:sz w:val="20"/>
          <w:szCs w:val="20"/>
        </w:rPr>
        <w:t xml:space="preserve"> normal mortality</w:t>
      </w:r>
      <w:r w:rsidR="00D26BEC" w:rsidRPr="00FD5D81">
        <w:rPr>
          <w:rFonts w:ascii="Arial" w:hAnsi="Arial" w:cs="Arial"/>
          <w:sz w:val="20"/>
          <w:szCs w:val="20"/>
        </w:rPr>
        <w:t xml:space="preserve">. </w:t>
      </w:r>
      <w:r w:rsidR="00654870" w:rsidRPr="00FD5D81">
        <w:rPr>
          <w:rFonts w:ascii="Arial" w:hAnsi="Arial" w:cs="Arial"/>
          <w:sz w:val="20"/>
          <w:szCs w:val="20"/>
        </w:rPr>
        <w:t xml:space="preserve"> </w:t>
      </w:r>
    </w:p>
    <w:p w:rsidR="00D26BEC" w:rsidRPr="00FD5D81" w:rsidRDefault="00D26BEC" w:rsidP="00FD5D81">
      <w:pPr>
        <w:spacing w:line="240" w:lineRule="auto"/>
        <w:contextualSpacing/>
        <w:rPr>
          <w:rFonts w:ascii="Arial" w:hAnsi="Arial" w:cs="Arial"/>
          <w:sz w:val="20"/>
          <w:szCs w:val="20"/>
        </w:rPr>
      </w:pPr>
    </w:p>
    <w:p w:rsidR="009A2ACD" w:rsidRPr="00FD5D81" w:rsidRDefault="00654870" w:rsidP="00FD5D81">
      <w:pPr>
        <w:spacing w:line="240" w:lineRule="auto"/>
        <w:contextualSpacing/>
        <w:rPr>
          <w:rFonts w:ascii="Arial" w:hAnsi="Arial" w:cs="Arial"/>
          <w:color w:val="000000"/>
          <w:sz w:val="20"/>
          <w:szCs w:val="20"/>
        </w:rPr>
      </w:pPr>
      <w:r w:rsidRPr="00FD5D81">
        <w:rPr>
          <w:rFonts w:ascii="Arial" w:hAnsi="Arial" w:cs="Arial"/>
          <w:sz w:val="20"/>
          <w:szCs w:val="20"/>
        </w:rPr>
        <w:t>There ha</w:t>
      </w:r>
      <w:r w:rsidR="00D26BEC" w:rsidRPr="00FD5D81">
        <w:rPr>
          <w:rFonts w:ascii="Arial" w:hAnsi="Arial" w:cs="Arial"/>
          <w:sz w:val="20"/>
          <w:szCs w:val="20"/>
        </w:rPr>
        <w:t>s</w:t>
      </w:r>
      <w:r w:rsidRPr="00FD5D81">
        <w:rPr>
          <w:rFonts w:ascii="Arial" w:hAnsi="Arial" w:cs="Arial"/>
          <w:sz w:val="20"/>
          <w:szCs w:val="20"/>
        </w:rPr>
        <w:t xml:space="preserve"> been extensive external auditing of data generated at MIRT</w:t>
      </w:r>
      <w:r w:rsidR="00FD5D81">
        <w:rPr>
          <w:rFonts w:ascii="Arial" w:hAnsi="Arial" w:cs="Arial"/>
          <w:sz w:val="20"/>
          <w:szCs w:val="20"/>
        </w:rPr>
        <w:t xml:space="preserve"> (Table 2)</w:t>
      </w:r>
      <w:r w:rsidRPr="00FD5D81">
        <w:rPr>
          <w:rFonts w:ascii="Arial" w:hAnsi="Arial" w:cs="Arial"/>
          <w:sz w:val="20"/>
          <w:szCs w:val="20"/>
        </w:rPr>
        <w:t xml:space="preserve">, including assessment of cause of death. For example, </w:t>
      </w:r>
      <w:r w:rsidR="00D26BEC" w:rsidRPr="00FD5D81">
        <w:rPr>
          <w:rFonts w:ascii="Arial" w:hAnsi="Arial" w:cs="Arial"/>
          <w:sz w:val="20"/>
          <w:szCs w:val="20"/>
        </w:rPr>
        <w:t>t</w:t>
      </w:r>
      <w:r w:rsidRPr="00FD5D81">
        <w:rPr>
          <w:rFonts w:ascii="Arial" w:hAnsi="Arial" w:cs="Arial"/>
          <w:color w:val="000000"/>
          <w:sz w:val="20"/>
          <w:szCs w:val="20"/>
        </w:rPr>
        <w:t xml:space="preserve">he FDA conducted an inspection of </w:t>
      </w:r>
      <w:r w:rsidR="00D26BEC" w:rsidRPr="00FD5D81">
        <w:rPr>
          <w:rFonts w:ascii="Arial" w:hAnsi="Arial" w:cs="Arial"/>
          <w:color w:val="000000"/>
          <w:sz w:val="20"/>
          <w:szCs w:val="20"/>
        </w:rPr>
        <w:t>TT</w:t>
      </w:r>
      <w:r w:rsidRPr="00FD5D81">
        <w:rPr>
          <w:rFonts w:ascii="Arial" w:hAnsi="Arial" w:cs="Arial"/>
          <w:color w:val="000000"/>
          <w:sz w:val="20"/>
          <w:szCs w:val="20"/>
        </w:rPr>
        <w:t>2 in January 2012 in response to a complaint about possible misclassification of deaths. The FDA inspector reviewed 86 deaths that were classified as either “indeterminate” or “other</w:t>
      </w:r>
      <w:r w:rsidR="005E0D3C">
        <w:rPr>
          <w:rFonts w:ascii="Arial" w:hAnsi="Arial" w:cs="Arial"/>
          <w:color w:val="000000"/>
          <w:sz w:val="20"/>
          <w:szCs w:val="20"/>
        </w:rPr>
        <w:t>,</w:t>
      </w:r>
      <w:r w:rsidRPr="00FD5D81">
        <w:rPr>
          <w:rFonts w:ascii="Arial" w:hAnsi="Arial" w:cs="Arial"/>
          <w:color w:val="000000"/>
          <w:sz w:val="20"/>
          <w:szCs w:val="20"/>
        </w:rPr>
        <w:t xml:space="preserve">” and did not find any problems. The UAMS Office of Research Compliance performed a full audit of </w:t>
      </w:r>
      <w:r w:rsidR="00D26BEC" w:rsidRPr="00FD5D81">
        <w:rPr>
          <w:rFonts w:ascii="Arial" w:hAnsi="Arial" w:cs="Arial"/>
          <w:color w:val="000000"/>
          <w:sz w:val="20"/>
          <w:szCs w:val="20"/>
        </w:rPr>
        <w:t xml:space="preserve">cause of </w:t>
      </w:r>
      <w:r w:rsidR="001506BB" w:rsidRPr="00FD5D81">
        <w:rPr>
          <w:rFonts w:ascii="Arial" w:hAnsi="Arial" w:cs="Arial"/>
          <w:color w:val="000000"/>
          <w:sz w:val="20"/>
          <w:szCs w:val="20"/>
        </w:rPr>
        <w:t>d</w:t>
      </w:r>
      <w:r w:rsidR="00D26BEC" w:rsidRPr="00FD5D81">
        <w:rPr>
          <w:rFonts w:ascii="Arial" w:hAnsi="Arial" w:cs="Arial"/>
          <w:color w:val="000000"/>
          <w:sz w:val="20"/>
          <w:szCs w:val="20"/>
        </w:rPr>
        <w:t>eath</w:t>
      </w:r>
      <w:r w:rsidRPr="00FD5D81">
        <w:rPr>
          <w:rFonts w:ascii="Arial" w:hAnsi="Arial" w:cs="Arial"/>
          <w:color w:val="000000"/>
          <w:sz w:val="20"/>
          <w:szCs w:val="20"/>
        </w:rPr>
        <w:t xml:space="preserve"> determinations on </w:t>
      </w:r>
      <w:r w:rsidR="00D26BEC" w:rsidRPr="00FD5D81">
        <w:rPr>
          <w:rFonts w:ascii="Arial" w:hAnsi="Arial" w:cs="Arial"/>
          <w:color w:val="000000"/>
          <w:sz w:val="20"/>
          <w:szCs w:val="20"/>
        </w:rPr>
        <w:t>TT</w:t>
      </w:r>
      <w:r w:rsidRPr="00FD5D81">
        <w:rPr>
          <w:rFonts w:ascii="Arial" w:hAnsi="Arial" w:cs="Arial"/>
          <w:color w:val="000000"/>
          <w:sz w:val="20"/>
          <w:szCs w:val="20"/>
        </w:rPr>
        <w:t xml:space="preserve">4. A panel of independent physicians was used for this audit to ensure appropriate medical expertise. No misclassification or underreporting of deaths was noted. The UAMS Office of Research Compliance reviews all Adverse Events, Serious Adverse Events, and Unanticipated Problems Involving Risks to Subjects or Others, as reported in any and all audits conducted. </w:t>
      </w:r>
      <w:r w:rsidR="00B80386" w:rsidRPr="00FD5D81">
        <w:rPr>
          <w:rFonts w:ascii="Arial" w:hAnsi="Arial" w:cs="Arial"/>
          <w:color w:val="000000"/>
          <w:sz w:val="20"/>
          <w:szCs w:val="20"/>
        </w:rPr>
        <w:t xml:space="preserve">The UAMS </w:t>
      </w:r>
      <w:r w:rsidRPr="00FD5D81">
        <w:rPr>
          <w:rFonts w:ascii="Arial" w:hAnsi="Arial" w:cs="Arial"/>
          <w:color w:val="000000"/>
          <w:sz w:val="20"/>
          <w:szCs w:val="20"/>
        </w:rPr>
        <w:t>I</w:t>
      </w:r>
      <w:r w:rsidR="00D26BEC" w:rsidRPr="00FD5D81">
        <w:rPr>
          <w:rFonts w:ascii="Arial" w:hAnsi="Arial" w:cs="Arial"/>
          <w:color w:val="000000"/>
          <w:sz w:val="20"/>
          <w:szCs w:val="20"/>
        </w:rPr>
        <w:t xml:space="preserve">nstitutional </w:t>
      </w:r>
      <w:r w:rsidRPr="00FD5D81">
        <w:rPr>
          <w:rFonts w:ascii="Arial" w:hAnsi="Arial" w:cs="Arial"/>
          <w:color w:val="000000"/>
          <w:sz w:val="20"/>
          <w:szCs w:val="20"/>
        </w:rPr>
        <w:t>R</w:t>
      </w:r>
      <w:r w:rsidR="00D26BEC" w:rsidRPr="00FD5D81">
        <w:rPr>
          <w:rFonts w:ascii="Arial" w:hAnsi="Arial" w:cs="Arial"/>
          <w:color w:val="000000"/>
          <w:sz w:val="20"/>
          <w:szCs w:val="20"/>
        </w:rPr>
        <w:t xml:space="preserve">eview </w:t>
      </w:r>
      <w:r w:rsidRPr="00FD5D81">
        <w:rPr>
          <w:rFonts w:ascii="Arial" w:hAnsi="Arial" w:cs="Arial"/>
          <w:color w:val="000000"/>
          <w:sz w:val="20"/>
          <w:szCs w:val="20"/>
        </w:rPr>
        <w:t>B</w:t>
      </w:r>
      <w:r w:rsidR="00D26BEC" w:rsidRPr="00FD5D81">
        <w:rPr>
          <w:rFonts w:ascii="Arial" w:hAnsi="Arial" w:cs="Arial"/>
          <w:color w:val="000000"/>
          <w:sz w:val="20"/>
          <w:szCs w:val="20"/>
        </w:rPr>
        <w:t>oard</w:t>
      </w:r>
      <w:r w:rsidRPr="00FD5D81">
        <w:rPr>
          <w:rFonts w:ascii="Arial" w:hAnsi="Arial" w:cs="Arial"/>
          <w:color w:val="000000"/>
          <w:sz w:val="20"/>
          <w:szCs w:val="20"/>
        </w:rPr>
        <w:t xml:space="preserve"> is informed and takes action as necessary.</w:t>
      </w:r>
    </w:p>
    <w:p w:rsidR="00FD5D81" w:rsidRPr="00AD5F31" w:rsidRDefault="00FD5D81" w:rsidP="00917852">
      <w:pPr>
        <w:spacing w:line="360" w:lineRule="auto"/>
        <w:contextualSpacing/>
        <w:rPr>
          <w:rFonts w:ascii="Times New Roman" w:hAnsi="Times New Roman" w:cs="Times New Roman"/>
          <w:color w:val="000000"/>
          <w:sz w:val="20"/>
          <w:szCs w:val="20"/>
        </w:rPr>
      </w:pPr>
    </w:p>
    <w:p w:rsidR="0020362D" w:rsidRPr="00AD5F31" w:rsidRDefault="0020362D" w:rsidP="0020362D">
      <w:pPr>
        <w:rPr>
          <w:rFonts w:ascii="Arial" w:hAnsi="Arial" w:cs="Arial"/>
          <w:b/>
          <w:noProof/>
          <w:sz w:val="20"/>
          <w:szCs w:val="20"/>
          <w:u w:val="single"/>
        </w:rPr>
      </w:pPr>
      <w:proofErr w:type="gramStart"/>
      <w:r w:rsidRPr="00AD5F31">
        <w:rPr>
          <w:rFonts w:ascii="Arial" w:hAnsi="Arial" w:cs="Arial"/>
          <w:b/>
          <w:sz w:val="20"/>
          <w:szCs w:val="20"/>
          <w:u w:val="single"/>
        </w:rPr>
        <w:t>Figure 1.</w:t>
      </w:r>
      <w:proofErr w:type="gramEnd"/>
      <w:r w:rsidRPr="00AD5F31">
        <w:rPr>
          <w:rFonts w:ascii="Arial" w:hAnsi="Arial" w:cs="Arial"/>
          <w:b/>
          <w:sz w:val="20"/>
          <w:szCs w:val="20"/>
          <w:u w:val="single"/>
        </w:rPr>
        <w:t xml:space="preserve">  Overall Survival in Total Therapies 1, 2 and 3</w:t>
      </w:r>
    </w:p>
    <w:p w:rsidR="0020362D" w:rsidRDefault="008563BE" w:rsidP="0020362D">
      <w:r>
        <w:rPr>
          <w:noProof/>
        </w:rPr>
        <w:drawing>
          <wp:inline distT="0" distB="0" distL="0" distR="0">
            <wp:extent cx="4572000" cy="2872740"/>
            <wp:effectExtent l="0" t="0" r="0" b="0"/>
            <wp:docPr id="1" name="Picture 1" descr="Description: I:\groups\CRABStat\Projects\Arkansas\Projects\Mehta letters\MyelomaBeacon\Figures\ostt.cg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I:\groups\CRABStat\Projects\Arkansas\Projects\Mehta letters\MyelomaBeacon\Figures\ostt.cgm"/>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482" t="10585" r="3539"/>
                    <a:stretch>
                      <a:fillRect/>
                    </a:stretch>
                  </pic:blipFill>
                  <pic:spPr bwMode="auto">
                    <a:xfrm>
                      <a:off x="0" y="0"/>
                      <a:ext cx="4572000" cy="2872740"/>
                    </a:xfrm>
                    <a:prstGeom prst="rect">
                      <a:avLst/>
                    </a:prstGeom>
                    <a:noFill/>
                    <a:ln>
                      <a:noFill/>
                    </a:ln>
                  </pic:spPr>
                </pic:pic>
              </a:graphicData>
            </a:graphic>
          </wp:inline>
        </w:drawing>
      </w:r>
    </w:p>
    <w:p w:rsidR="004025E9" w:rsidRDefault="004025E9" w:rsidP="0020362D">
      <w:pPr>
        <w:rPr>
          <w:rFonts w:ascii="Arial" w:hAnsi="Arial" w:cs="Arial"/>
          <w:b/>
          <w:sz w:val="20"/>
          <w:szCs w:val="20"/>
          <w:u w:val="single"/>
        </w:rPr>
      </w:pPr>
    </w:p>
    <w:p w:rsidR="0020362D" w:rsidRPr="00AD5F31" w:rsidRDefault="0020362D" w:rsidP="0020362D">
      <w:pPr>
        <w:rPr>
          <w:rFonts w:ascii="Arial" w:hAnsi="Arial" w:cs="Arial"/>
          <w:b/>
          <w:sz w:val="20"/>
          <w:szCs w:val="20"/>
          <w:u w:val="single"/>
        </w:rPr>
      </w:pPr>
      <w:proofErr w:type="gramStart"/>
      <w:r w:rsidRPr="00AD5F31">
        <w:rPr>
          <w:rFonts w:ascii="Arial" w:hAnsi="Arial" w:cs="Arial"/>
          <w:b/>
          <w:sz w:val="20"/>
          <w:szCs w:val="20"/>
          <w:u w:val="single"/>
        </w:rPr>
        <w:lastRenderedPageBreak/>
        <w:t>Table 1.</w:t>
      </w:r>
      <w:proofErr w:type="gramEnd"/>
      <w:r w:rsidRPr="00AD5F31">
        <w:rPr>
          <w:rFonts w:ascii="Arial" w:hAnsi="Arial" w:cs="Arial"/>
          <w:b/>
          <w:sz w:val="20"/>
          <w:szCs w:val="20"/>
          <w:u w:val="single"/>
        </w:rPr>
        <w:t xml:space="preserve">  Days Since Last Contact for Patients Alive at Last Contact</w:t>
      </w:r>
    </w:p>
    <w:tbl>
      <w:tblPr>
        <w:tblW w:w="0" w:type="auto"/>
        <w:jc w:val="center"/>
        <w:tblInd w:w="-471" w:type="dxa"/>
        <w:tblLayout w:type="fixed"/>
        <w:tblCellMar>
          <w:left w:w="0" w:type="dxa"/>
          <w:right w:w="0" w:type="dxa"/>
        </w:tblCellMar>
        <w:tblLook w:val="04A0"/>
      </w:tblPr>
      <w:tblGrid>
        <w:gridCol w:w="1326"/>
        <w:gridCol w:w="467"/>
        <w:gridCol w:w="822"/>
        <w:gridCol w:w="467"/>
        <w:gridCol w:w="822"/>
        <w:gridCol w:w="391"/>
        <w:gridCol w:w="714"/>
        <w:gridCol w:w="445"/>
        <w:gridCol w:w="714"/>
        <w:gridCol w:w="499"/>
        <w:gridCol w:w="822"/>
        <w:gridCol w:w="467"/>
        <w:gridCol w:w="822"/>
        <w:gridCol w:w="606"/>
      </w:tblGrid>
      <w:tr w:rsidR="0020362D" w:rsidTr="0020362D">
        <w:trPr>
          <w:cantSplit/>
          <w:trHeight w:val="260"/>
          <w:tblHeader/>
          <w:jc w:val="center"/>
        </w:trPr>
        <w:tc>
          <w:tcPr>
            <w:tcW w:w="1326" w:type="dxa"/>
            <w:tcBorders>
              <w:top w:val="single" w:sz="4" w:space="0" w:color="auto"/>
              <w:left w:val="single" w:sz="4" w:space="0" w:color="auto"/>
              <w:bottom w:val="single" w:sz="4" w:space="0" w:color="auto"/>
              <w:right w:val="nil"/>
            </w:tcBorders>
            <w:shd w:val="clear" w:color="auto" w:fill="F2F2F2" w:themeFill="background1" w:themeFillShade="F2"/>
            <w:tcMar>
              <w:top w:w="0" w:type="dxa"/>
              <w:left w:w="67" w:type="dxa"/>
              <w:bottom w:w="0" w:type="dxa"/>
              <w:right w:w="67" w:type="dxa"/>
            </w:tcMar>
            <w:vAlign w:val="center"/>
          </w:tcPr>
          <w:p w:rsidR="0020362D" w:rsidRDefault="0020362D">
            <w:pPr>
              <w:keepNext/>
              <w:adjustRightInd w:val="0"/>
              <w:spacing w:before="20" w:after="20"/>
              <w:jc w:val="center"/>
              <w:rPr>
                <w:rFonts w:ascii="Arial" w:hAnsi="Arial" w:cs="Arial"/>
                <w:b/>
                <w:i/>
                <w:iCs/>
                <w:color w:val="000000"/>
                <w:sz w:val="19"/>
                <w:szCs w:val="19"/>
              </w:rPr>
            </w:pPr>
            <w:bookmarkStart w:id="0" w:name="IDX"/>
            <w:bookmarkEnd w:id="0"/>
          </w:p>
        </w:tc>
        <w:tc>
          <w:tcPr>
            <w:tcW w:w="7452" w:type="dxa"/>
            <w:gridSpan w:val="12"/>
            <w:tcBorders>
              <w:top w:val="single" w:sz="4" w:space="0" w:color="auto"/>
              <w:left w:val="nil"/>
              <w:bottom w:val="nil"/>
              <w:right w:val="nil"/>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b/>
                <w:i/>
                <w:iCs/>
                <w:color w:val="000000"/>
                <w:sz w:val="19"/>
                <w:szCs w:val="19"/>
              </w:rPr>
            </w:pPr>
            <w:r>
              <w:rPr>
                <w:rFonts w:ascii="Arial" w:hAnsi="Arial" w:cs="Arial"/>
                <w:b/>
                <w:i/>
                <w:iCs/>
                <w:color w:val="000000"/>
                <w:sz w:val="19"/>
                <w:szCs w:val="19"/>
              </w:rPr>
              <w:t>Days Since Last Contact *</w:t>
            </w:r>
          </w:p>
        </w:tc>
        <w:tc>
          <w:tcPr>
            <w:tcW w:w="606" w:type="dxa"/>
            <w:tcBorders>
              <w:top w:val="single" w:sz="4" w:space="0" w:color="auto"/>
              <w:left w:val="nil"/>
              <w:bottom w:val="single" w:sz="4" w:space="0" w:color="auto"/>
              <w:right w:val="single" w:sz="4" w:space="0" w:color="auto"/>
            </w:tcBorders>
            <w:shd w:val="clear" w:color="auto" w:fill="F2F2F2" w:themeFill="background1" w:themeFillShade="F2"/>
            <w:tcMar>
              <w:top w:w="0" w:type="dxa"/>
              <w:left w:w="67" w:type="dxa"/>
              <w:bottom w:w="0" w:type="dxa"/>
              <w:right w:w="67" w:type="dxa"/>
            </w:tcMar>
            <w:vAlign w:val="center"/>
          </w:tcPr>
          <w:p w:rsidR="0020362D" w:rsidRDefault="0020362D">
            <w:pPr>
              <w:keepNext/>
              <w:adjustRightInd w:val="0"/>
              <w:spacing w:before="20" w:after="20"/>
              <w:jc w:val="center"/>
              <w:rPr>
                <w:rFonts w:ascii="Arial" w:hAnsi="Arial" w:cs="Arial"/>
                <w:b/>
                <w:i/>
                <w:iCs/>
                <w:color w:val="000000"/>
                <w:sz w:val="19"/>
                <w:szCs w:val="19"/>
              </w:rPr>
            </w:pPr>
          </w:p>
        </w:tc>
      </w:tr>
      <w:tr w:rsidR="0020362D" w:rsidTr="0020362D">
        <w:trPr>
          <w:cantSplit/>
          <w:trHeight w:val="252"/>
          <w:tblHeader/>
          <w:jc w:val="center"/>
        </w:trPr>
        <w:tc>
          <w:tcPr>
            <w:tcW w:w="1326" w:type="dxa"/>
            <w:tcBorders>
              <w:top w:val="single" w:sz="4" w:space="0" w:color="auto"/>
              <w:left w:val="single" w:sz="4" w:space="0" w:color="auto"/>
              <w:bottom w:val="nil"/>
              <w:right w:val="single" w:sz="4" w:space="0" w:color="auto"/>
            </w:tcBorders>
            <w:shd w:val="clear" w:color="auto" w:fill="F2F2F2" w:themeFill="background1" w:themeFillShade="F2"/>
            <w:tcMar>
              <w:top w:w="0" w:type="dxa"/>
              <w:left w:w="67" w:type="dxa"/>
              <w:bottom w:w="0" w:type="dxa"/>
              <w:right w:w="67" w:type="dxa"/>
            </w:tcMar>
            <w:vAlign w:val="center"/>
          </w:tcPr>
          <w:p w:rsidR="0020362D" w:rsidRDefault="0020362D">
            <w:pPr>
              <w:keepNext/>
              <w:adjustRightInd w:val="0"/>
              <w:spacing w:before="20" w:after="20"/>
              <w:jc w:val="center"/>
              <w:rPr>
                <w:rFonts w:ascii="Arial" w:hAnsi="Arial" w:cs="Arial"/>
                <w:i/>
                <w:iCs/>
                <w:color w:val="000000"/>
                <w:sz w:val="19"/>
                <w:szCs w:val="19"/>
              </w:rPr>
            </w:pPr>
          </w:p>
        </w:tc>
        <w:tc>
          <w:tcPr>
            <w:tcW w:w="1289" w:type="dxa"/>
            <w:gridSpan w:val="2"/>
            <w:tcBorders>
              <w:top w:val="single" w:sz="4" w:space="0" w:color="auto"/>
              <w:left w:val="single" w:sz="4" w:space="0" w:color="auto"/>
              <w:bottom w:val="nil"/>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&lt; 30</w:t>
            </w:r>
          </w:p>
        </w:tc>
        <w:tc>
          <w:tcPr>
            <w:tcW w:w="1289" w:type="dxa"/>
            <w:gridSpan w:val="2"/>
            <w:tcBorders>
              <w:top w:val="single" w:sz="4" w:space="0" w:color="auto"/>
              <w:left w:val="single" w:sz="4" w:space="0" w:color="auto"/>
              <w:bottom w:val="nil"/>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30-59</w:t>
            </w:r>
          </w:p>
        </w:tc>
        <w:tc>
          <w:tcPr>
            <w:tcW w:w="1105" w:type="dxa"/>
            <w:gridSpan w:val="2"/>
            <w:tcBorders>
              <w:top w:val="single" w:sz="4" w:space="0" w:color="auto"/>
              <w:left w:val="single" w:sz="4" w:space="0" w:color="auto"/>
              <w:bottom w:val="nil"/>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60-89</w:t>
            </w:r>
          </w:p>
        </w:tc>
        <w:tc>
          <w:tcPr>
            <w:tcW w:w="1159" w:type="dxa"/>
            <w:gridSpan w:val="2"/>
            <w:tcBorders>
              <w:top w:val="single" w:sz="4" w:space="0" w:color="auto"/>
              <w:left w:val="single" w:sz="4" w:space="0" w:color="auto"/>
              <w:bottom w:val="nil"/>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90-179</w:t>
            </w:r>
          </w:p>
        </w:tc>
        <w:tc>
          <w:tcPr>
            <w:tcW w:w="1321" w:type="dxa"/>
            <w:gridSpan w:val="2"/>
            <w:tcBorders>
              <w:top w:val="single" w:sz="4" w:space="0" w:color="auto"/>
              <w:left w:val="single" w:sz="4" w:space="0" w:color="auto"/>
              <w:bottom w:val="nil"/>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180-365</w:t>
            </w:r>
          </w:p>
        </w:tc>
        <w:tc>
          <w:tcPr>
            <w:tcW w:w="1289" w:type="dxa"/>
            <w:gridSpan w:val="2"/>
            <w:tcBorders>
              <w:top w:val="single" w:sz="4" w:space="0" w:color="auto"/>
              <w:left w:val="single" w:sz="4" w:space="0" w:color="auto"/>
              <w:bottom w:val="nil"/>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&gt; 365</w:t>
            </w:r>
          </w:p>
        </w:tc>
        <w:tc>
          <w:tcPr>
            <w:tcW w:w="606" w:type="dxa"/>
            <w:tcBorders>
              <w:top w:val="single" w:sz="4" w:space="0" w:color="auto"/>
              <w:left w:val="single" w:sz="4" w:space="0" w:color="auto"/>
              <w:bottom w:val="nil"/>
              <w:right w:val="single" w:sz="4" w:space="0" w:color="auto"/>
            </w:tcBorders>
            <w:shd w:val="clear" w:color="auto" w:fill="F2F2F2" w:themeFill="background1" w:themeFillShade="F2"/>
            <w:tcMar>
              <w:top w:w="0" w:type="dxa"/>
              <w:left w:w="67" w:type="dxa"/>
              <w:bottom w:w="0" w:type="dxa"/>
              <w:right w:w="67" w:type="dxa"/>
            </w:tcMar>
            <w:vAlign w:val="center"/>
          </w:tcPr>
          <w:p w:rsidR="0020362D" w:rsidRDefault="0020362D">
            <w:pPr>
              <w:keepNext/>
              <w:adjustRightInd w:val="0"/>
              <w:spacing w:before="20" w:after="20"/>
              <w:jc w:val="center"/>
              <w:rPr>
                <w:rFonts w:ascii="Arial" w:hAnsi="Arial" w:cs="Arial"/>
                <w:i/>
                <w:iCs/>
                <w:color w:val="000000"/>
                <w:sz w:val="19"/>
                <w:szCs w:val="19"/>
              </w:rPr>
            </w:pPr>
          </w:p>
        </w:tc>
      </w:tr>
      <w:tr w:rsidR="0020362D" w:rsidTr="0020362D">
        <w:trPr>
          <w:cantSplit/>
          <w:trHeight w:val="270"/>
          <w:tblHeader/>
          <w:jc w:val="center"/>
        </w:trPr>
        <w:tc>
          <w:tcPr>
            <w:tcW w:w="1326" w:type="dxa"/>
            <w:tcBorders>
              <w:top w:val="nil"/>
              <w:left w:val="single" w:sz="4" w:space="0" w:color="auto"/>
              <w:bottom w:val="single" w:sz="2" w:space="0" w:color="000000"/>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rPr>
                <w:rFonts w:ascii="Arial" w:hAnsi="Arial" w:cs="Arial"/>
                <w:i/>
                <w:iCs/>
                <w:color w:val="000000"/>
                <w:sz w:val="19"/>
                <w:szCs w:val="19"/>
              </w:rPr>
            </w:pPr>
            <w:r>
              <w:rPr>
                <w:rFonts w:ascii="Arial" w:hAnsi="Arial" w:cs="Arial"/>
                <w:i/>
                <w:iCs/>
                <w:color w:val="000000"/>
                <w:sz w:val="19"/>
                <w:szCs w:val="19"/>
              </w:rPr>
              <w:t>Protocol</w:t>
            </w:r>
          </w:p>
        </w:tc>
        <w:tc>
          <w:tcPr>
            <w:tcW w:w="467" w:type="dxa"/>
            <w:tcBorders>
              <w:top w:val="nil"/>
              <w:left w:val="single" w:sz="4" w:space="0" w:color="auto"/>
              <w:bottom w:val="single" w:sz="2" w:space="0" w:color="000000"/>
              <w:right w:val="nil"/>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n</w:t>
            </w:r>
          </w:p>
        </w:tc>
        <w:tc>
          <w:tcPr>
            <w:tcW w:w="822" w:type="dxa"/>
            <w:tcBorders>
              <w:top w:val="nil"/>
              <w:left w:val="nil"/>
              <w:bottom w:val="single" w:sz="2" w:space="0" w:color="000000"/>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w:t>
            </w:r>
          </w:p>
        </w:tc>
        <w:tc>
          <w:tcPr>
            <w:tcW w:w="467" w:type="dxa"/>
            <w:tcBorders>
              <w:top w:val="nil"/>
              <w:left w:val="single" w:sz="4" w:space="0" w:color="auto"/>
              <w:bottom w:val="single" w:sz="2" w:space="0" w:color="000000"/>
              <w:right w:val="nil"/>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n</w:t>
            </w:r>
          </w:p>
        </w:tc>
        <w:tc>
          <w:tcPr>
            <w:tcW w:w="822" w:type="dxa"/>
            <w:tcBorders>
              <w:top w:val="nil"/>
              <w:left w:val="nil"/>
              <w:bottom w:val="single" w:sz="2" w:space="0" w:color="000000"/>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w:t>
            </w:r>
          </w:p>
        </w:tc>
        <w:tc>
          <w:tcPr>
            <w:tcW w:w="391" w:type="dxa"/>
            <w:tcBorders>
              <w:top w:val="nil"/>
              <w:left w:val="single" w:sz="4" w:space="0" w:color="auto"/>
              <w:bottom w:val="single" w:sz="2" w:space="0" w:color="000000"/>
              <w:right w:val="nil"/>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n</w:t>
            </w:r>
          </w:p>
        </w:tc>
        <w:tc>
          <w:tcPr>
            <w:tcW w:w="714" w:type="dxa"/>
            <w:tcBorders>
              <w:top w:val="nil"/>
              <w:left w:val="nil"/>
              <w:bottom w:val="single" w:sz="2" w:space="0" w:color="000000"/>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w:t>
            </w:r>
          </w:p>
        </w:tc>
        <w:tc>
          <w:tcPr>
            <w:tcW w:w="445" w:type="dxa"/>
            <w:tcBorders>
              <w:top w:val="nil"/>
              <w:left w:val="single" w:sz="4" w:space="0" w:color="auto"/>
              <w:bottom w:val="single" w:sz="2" w:space="0" w:color="000000"/>
              <w:right w:val="nil"/>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n</w:t>
            </w:r>
          </w:p>
        </w:tc>
        <w:tc>
          <w:tcPr>
            <w:tcW w:w="714" w:type="dxa"/>
            <w:tcBorders>
              <w:top w:val="nil"/>
              <w:left w:val="nil"/>
              <w:bottom w:val="single" w:sz="2" w:space="0" w:color="000000"/>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w:t>
            </w:r>
          </w:p>
        </w:tc>
        <w:tc>
          <w:tcPr>
            <w:tcW w:w="499" w:type="dxa"/>
            <w:tcBorders>
              <w:top w:val="nil"/>
              <w:left w:val="single" w:sz="4" w:space="0" w:color="auto"/>
              <w:bottom w:val="single" w:sz="2" w:space="0" w:color="000000"/>
              <w:right w:val="nil"/>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n</w:t>
            </w:r>
          </w:p>
        </w:tc>
        <w:tc>
          <w:tcPr>
            <w:tcW w:w="822" w:type="dxa"/>
            <w:tcBorders>
              <w:top w:val="nil"/>
              <w:left w:val="nil"/>
              <w:bottom w:val="single" w:sz="2" w:space="0" w:color="000000"/>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w:t>
            </w:r>
          </w:p>
        </w:tc>
        <w:tc>
          <w:tcPr>
            <w:tcW w:w="467" w:type="dxa"/>
            <w:tcBorders>
              <w:top w:val="nil"/>
              <w:left w:val="single" w:sz="4" w:space="0" w:color="auto"/>
              <w:bottom w:val="single" w:sz="2" w:space="0" w:color="000000"/>
              <w:right w:val="nil"/>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n</w:t>
            </w:r>
          </w:p>
        </w:tc>
        <w:tc>
          <w:tcPr>
            <w:tcW w:w="822" w:type="dxa"/>
            <w:tcBorders>
              <w:top w:val="nil"/>
              <w:left w:val="nil"/>
              <w:bottom w:val="single" w:sz="2" w:space="0" w:color="000000"/>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w:t>
            </w:r>
          </w:p>
        </w:tc>
        <w:tc>
          <w:tcPr>
            <w:tcW w:w="606" w:type="dxa"/>
            <w:tcBorders>
              <w:top w:val="nil"/>
              <w:left w:val="single" w:sz="4" w:space="0" w:color="auto"/>
              <w:bottom w:val="single" w:sz="2" w:space="0" w:color="000000"/>
              <w:right w:val="single" w:sz="4" w:space="0" w:color="auto"/>
            </w:tcBorders>
            <w:shd w:val="clear" w:color="auto" w:fill="F2F2F2" w:themeFill="background1" w:themeFillShade="F2"/>
            <w:tcMar>
              <w:top w:w="0" w:type="dxa"/>
              <w:left w:w="67" w:type="dxa"/>
              <w:bottom w:w="0" w:type="dxa"/>
              <w:right w:w="67" w:type="dxa"/>
            </w:tcMar>
            <w:vAlign w:val="center"/>
            <w:hideMark/>
          </w:tcPr>
          <w:p w:rsidR="0020362D" w:rsidRDefault="0020362D">
            <w:pPr>
              <w:keepNext/>
              <w:adjustRightInd w:val="0"/>
              <w:spacing w:before="20" w:after="20"/>
              <w:jc w:val="center"/>
              <w:rPr>
                <w:rFonts w:ascii="Arial" w:hAnsi="Arial" w:cs="Arial"/>
                <w:i/>
                <w:iCs/>
                <w:color w:val="000000"/>
                <w:sz w:val="19"/>
                <w:szCs w:val="19"/>
              </w:rPr>
            </w:pPr>
            <w:r>
              <w:rPr>
                <w:rFonts w:ascii="Arial" w:hAnsi="Arial" w:cs="Arial"/>
                <w:i/>
                <w:iCs/>
                <w:color w:val="000000"/>
                <w:sz w:val="19"/>
                <w:szCs w:val="19"/>
              </w:rPr>
              <w:t>N</w:t>
            </w:r>
          </w:p>
        </w:tc>
      </w:tr>
      <w:tr w:rsidR="0020362D" w:rsidTr="0020362D">
        <w:trPr>
          <w:cantSplit/>
          <w:jc w:val="center"/>
        </w:trPr>
        <w:tc>
          <w:tcPr>
            <w:tcW w:w="1326" w:type="dxa"/>
            <w:tcBorders>
              <w:top w:val="nil"/>
              <w:left w:val="single" w:sz="4" w:space="0" w:color="auto"/>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rPr>
                <w:rFonts w:ascii="Arial" w:hAnsi="Arial" w:cs="Arial"/>
                <w:color w:val="000000"/>
                <w:sz w:val="18"/>
                <w:szCs w:val="19"/>
              </w:rPr>
            </w:pPr>
            <w:r>
              <w:rPr>
                <w:rFonts w:ascii="Arial" w:hAnsi="Arial" w:cs="Arial"/>
                <w:color w:val="000000"/>
                <w:sz w:val="18"/>
                <w:szCs w:val="19"/>
              </w:rPr>
              <w:t>Overall</w:t>
            </w:r>
          </w:p>
        </w:tc>
        <w:tc>
          <w:tcPr>
            <w:tcW w:w="467"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310</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(46.5%)</w:t>
            </w:r>
          </w:p>
        </w:tc>
        <w:tc>
          <w:tcPr>
            <w:tcW w:w="467"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101</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(15.1%)</w:t>
            </w:r>
          </w:p>
        </w:tc>
        <w:tc>
          <w:tcPr>
            <w:tcW w:w="391"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36</w:t>
            </w:r>
          </w:p>
        </w:tc>
        <w:tc>
          <w:tcPr>
            <w:tcW w:w="714"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(5.4%)</w:t>
            </w:r>
          </w:p>
        </w:tc>
        <w:tc>
          <w:tcPr>
            <w:tcW w:w="445"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44</w:t>
            </w:r>
          </w:p>
        </w:tc>
        <w:tc>
          <w:tcPr>
            <w:tcW w:w="714"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(6.6%)</w:t>
            </w:r>
          </w:p>
        </w:tc>
        <w:tc>
          <w:tcPr>
            <w:tcW w:w="499"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61</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(9.1%)</w:t>
            </w:r>
          </w:p>
        </w:tc>
        <w:tc>
          <w:tcPr>
            <w:tcW w:w="467"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115</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(17.2%)</w:t>
            </w:r>
          </w:p>
        </w:tc>
        <w:tc>
          <w:tcPr>
            <w:tcW w:w="606" w:type="dxa"/>
            <w:tcBorders>
              <w:top w:val="nil"/>
              <w:left w:val="single" w:sz="4" w:space="0" w:color="auto"/>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667</w:t>
            </w:r>
          </w:p>
        </w:tc>
      </w:tr>
      <w:tr w:rsidR="0020362D" w:rsidTr="0020362D">
        <w:trPr>
          <w:cantSplit/>
          <w:jc w:val="center"/>
        </w:trPr>
        <w:tc>
          <w:tcPr>
            <w:tcW w:w="1326" w:type="dxa"/>
            <w:tcBorders>
              <w:top w:val="nil"/>
              <w:left w:val="single" w:sz="4" w:space="0" w:color="auto"/>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rPr>
                <w:rFonts w:ascii="Arial" w:hAnsi="Arial" w:cs="Arial"/>
                <w:color w:val="000000"/>
                <w:sz w:val="18"/>
                <w:szCs w:val="19"/>
              </w:rPr>
            </w:pPr>
            <w:r>
              <w:rPr>
                <w:rFonts w:ascii="Arial" w:hAnsi="Arial" w:cs="Arial"/>
                <w:color w:val="000000"/>
                <w:sz w:val="18"/>
                <w:szCs w:val="19"/>
              </w:rPr>
              <w:t>TT1</w:t>
            </w:r>
          </w:p>
        </w:tc>
        <w:tc>
          <w:tcPr>
            <w:tcW w:w="467"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8</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(20.5%)</w:t>
            </w:r>
          </w:p>
        </w:tc>
        <w:tc>
          <w:tcPr>
            <w:tcW w:w="467"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7</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(17.9%)</w:t>
            </w:r>
          </w:p>
        </w:tc>
        <w:tc>
          <w:tcPr>
            <w:tcW w:w="391"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0</w:t>
            </w:r>
          </w:p>
        </w:tc>
        <w:tc>
          <w:tcPr>
            <w:tcW w:w="714"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(0.0%)</w:t>
            </w:r>
          </w:p>
        </w:tc>
        <w:tc>
          <w:tcPr>
            <w:tcW w:w="445"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3</w:t>
            </w:r>
          </w:p>
        </w:tc>
        <w:tc>
          <w:tcPr>
            <w:tcW w:w="714"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(7.7%)</w:t>
            </w:r>
          </w:p>
        </w:tc>
        <w:tc>
          <w:tcPr>
            <w:tcW w:w="499"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5</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(12.8%)</w:t>
            </w:r>
          </w:p>
        </w:tc>
        <w:tc>
          <w:tcPr>
            <w:tcW w:w="467"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16</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(41.0%)</w:t>
            </w:r>
          </w:p>
        </w:tc>
        <w:tc>
          <w:tcPr>
            <w:tcW w:w="606" w:type="dxa"/>
            <w:tcBorders>
              <w:top w:val="nil"/>
              <w:left w:val="single" w:sz="4" w:space="0" w:color="auto"/>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39</w:t>
            </w:r>
          </w:p>
        </w:tc>
      </w:tr>
      <w:tr w:rsidR="0020362D" w:rsidTr="0020362D">
        <w:trPr>
          <w:cantSplit/>
          <w:jc w:val="center"/>
        </w:trPr>
        <w:tc>
          <w:tcPr>
            <w:tcW w:w="1326" w:type="dxa"/>
            <w:tcBorders>
              <w:top w:val="nil"/>
              <w:left w:val="single" w:sz="4" w:space="0" w:color="auto"/>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rPr>
                <w:rFonts w:ascii="Arial" w:hAnsi="Arial" w:cs="Arial"/>
                <w:color w:val="000000"/>
                <w:sz w:val="18"/>
                <w:szCs w:val="19"/>
              </w:rPr>
            </w:pPr>
            <w:r>
              <w:rPr>
                <w:rFonts w:ascii="Arial" w:hAnsi="Arial" w:cs="Arial"/>
                <w:color w:val="000000"/>
                <w:sz w:val="18"/>
                <w:szCs w:val="19"/>
              </w:rPr>
              <w:t>TT2</w:t>
            </w:r>
          </w:p>
        </w:tc>
        <w:tc>
          <w:tcPr>
            <w:tcW w:w="467"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111</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(37.4%)</w:t>
            </w:r>
          </w:p>
        </w:tc>
        <w:tc>
          <w:tcPr>
            <w:tcW w:w="467"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36</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(12.1%)</w:t>
            </w:r>
          </w:p>
        </w:tc>
        <w:tc>
          <w:tcPr>
            <w:tcW w:w="391"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20</w:t>
            </w:r>
          </w:p>
        </w:tc>
        <w:tc>
          <w:tcPr>
            <w:tcW w:w="714"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(6.7%)</w:t>
            </w:r>
          </w:p>
        </w:tc>
        <w:tc>
          <w:tcPr>
            <w:tcW w:w="445"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15</w:t>
            </w:r>
          </w:p>
        </w:tc>
        <w:tc>
          <w:tcPr>
            <w:tcW w:w="714"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(5.1%)</w:t>
            </w:r>
          </w:p>
        </w:tc>
        <w:tc>
          <w:tcPr>
            <w:tcW w:w="499"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32</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(10.8%)</w:t>
            </w:r>
          </w:p>
        </w:tc>
        <w:tc>
          <w:tcPr>
            <w:tcW w:w="467" w:type="dxa"/>
            <w:tcBorders>
              <w:top w:val="nil"/>
              <w:left w:val="single" w:sz="4" w:space="0" w:color="auto"/>
              <w:bottom w:val="nil"/>
              <w:right w:val="nil"/>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83</w:t>
            </w:r>
          </w:p>
        </w:tc>
        <w:tc>
          <w:tcPr>
            <w:tcW w:w="822" w:type="dxa"/>
            <w:tcBorders>
              <w:top w:val="nil"/>
              <w:left w:val="nil"/>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(27.9%)</w:t>
            </w:r>
          </w:p>
        </w:tc>
        <w:tc>
          <w:tcPr>
            <w:tcW w:w="606" w:type="dxa"/>
            <w:tcBorders>
              <w:top w:val="nil"/>
              <w:left w:val="single" w:sz="4" w:space="0" w:color="auto"/>
              <w:bottom w:val="nil"/>
              <w:right w:val="single" w:sz="4" w:space="0" w:color="auto"/>
            </w:tcBorders>
            <w:shd w:val="clear" w:color="auto" w:fill="FFFFFF"/>
            <w:tcMar>
              <w:top w:w="0" w:type="dxa"/>
              <w:left w:w="67" w:type="dxa"/>
              <w:bottom w:w="0" w:type="dxa"/>
              <w:right w:w="67" w:type="dxa"/>
            </w:tcMar>
            <w:vAlign w:val="center"/>
            <w:hideMark/>
          </w:tcPr>
          <w:p w:rsidR="0020362D" w:rsidRDefault="0020362D">
            <w:pPr>
              <w:keepNext/>
              <w:adjustRightInd w:val="0"/>
              <w:spacing w:before="67" w:after="67"/>
              <w:jc w:val="center"/>
              <w:rPr>
                <w:rFonts w:ascii="Arial" w:hAnsi="Arial" w:cs="Arial"/>
                <w:color w:val="000000"/>
                <w:sz w:val="18"/>
                <w:szCs w:val="19"/>
              </w:rPr>
            </w:pPr>
            <w:r>
              <w:rPr>
                <w:rFonts w:ascii="Arial" w:hAnsi="Arial" w:cs="Arial"/>
                <w:color w:val="000000"/>
                <w:sz w:val="18"/>
                <w:szCs w:val="19"/>
              </w:rPr>
              <w:t>297</w:t>
            </w:r>
          </w:p>
        </w:tc>
      </w:tr>
      <w:tr w:rsidR="0020362D" w:rsidTr="0020362D">
        <w:trPr>
          <w:cantSplit/>
          <w:jc w:val="center"/>
        </w:trPr>
        <w:tc>
          <w:tcPr>
            <w:tcW w:w="1326" w:type="dxa"/>
            <w:tcBorders>
              <w:top w:val="nil"/>
              <w:left w:val="single" w:sz="4" w:space="0" w:color="auto"/>
              <w:bottom w:val="single" w:sz="4" w:space="0" w:color="auto"/>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rPr>
                <w:rFonts w:ascii="Arial" w:hAnsi="Arial" w:cs="Arial"/>
                <w:color w:val="000000"/>
                <w:sz w:val="18"/>
                <w:szCs w:val="19"/>
              </w:rPr>
            </w:pPr>
            <w:r>
              <w:rPr>
                <w:rFonts w:ascii="Arial" w:hAnsi="Arial" w:cs="Arial"/>
                <w:color w:val="000000"/>
                <w:sz w:val="18"/>
                <w:szCs w:val="19"/>
              </w:rPr>
              <w:t>TT3</w:t>
            </w:r>
          </w:p>
        </w:tc>
        <w:tc>
          <w:tcPr>
            <w:tcW w:w="467" w:type="dxa"/>
            <w:tcBorders>
              <w:top w:val="nil"/>
              <w:left w:val="single" w:sz="4" w:space="0" w:color="auto"/>
              <w:bottom w:val="single" w:sz="4" w:space="0" w:color="auto"/>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191</w:t>
            </w:r>
          </w:p>
        </w:tc>
        <w:tc>
          <w:tcPr>
            <w:tcW w:w="822" w:type="dxa"/>
            <w:tcBorders>
              <w:top w:val="nil"/>
              <w:left w:val="nil"/>
              <w:bottom w:val="single" w:sz="4" w:space="0" w:color="auto"/>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(57.7%)</w:t>
            </w:r>
          </w:p>
        </w:tc>
        <w:tc>
          <w:tcPr>
            <w:tcW w:w="467" w:type="dxa"/>
            <w:tcBorders>
              <w:top w:val="nil"/>
              <w:left w:val="single" w:sz="4" w:space="0" w:color="auto"/>
              <w:bottom w:val="single" w:sz="4" w:space="0" w:color="auto"/>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58</w:t>
            </w:r>
          </w:p>
        </w:tc>
        <w:tc>
          <w:tcPr>
            <w:tcW w:w="822" w:type="dxa"/>
            <w:tcBorders>
              <w:top w:val="nil"/>
              <w:left w:val="nil"/>
              <w:bottom w:val="single" w:sz="4" w:space="0" w:color="auto"/>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(17.5%)</w:t>
            </w:r>
          </w:p>
        </w:tc>
        <w:tc>
          <w:tcPr>
            <w:tcW w:w="391" w:type="dxa"/>
            <w:tcBorders>
              <w:top w:val="nil"/>
              <w:left w:val="single" w:sz="4" w:space="0" w:color="auto"/>
              <w:bottom w:val="single" w:sz="4" w:space="0" w:color="auto"/>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16</w:t>
            </w:r>
          </w:p>
        </w:tc>
        <w:tc>
          <w:tcPr>
            <w:tcW w:w="714" w:type="dxa"/>
            <w:tcBorders>
              <w:top w:val="nil"/>
              <w:left w:val="nil"/>
              <w:bottom w:val="single" w:sz="4" w:space="0" w:color="auto"/>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(4.8%)</w:t>
            </w:r>
          </w:p>
        </w:tc>
        <w:tc>
          <w:tcPr>
            <w:tcW w:w="445" w:type="dxa"/>
            <w:tcBorders>
              <w:top w:val="nil"/>
              <w:left w:val="single" w:sz="4" w:space="0" w:color="auto"/>
              <w:bottom w:val="single" w:sz="4" w:space="0" w:color="auto"/>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26</w:t>
            </w:r>
          </w:p>
        </w:tc>
        <w:tc>
          <w:tcPr>
            <w:tcW w:w="714" w:type="dxa"/>
            <w:tcBorders>
              <w:top w:val="nil"/>
              <w:left w:val="nil"/>
              <w:bottom w:val="single" w:sz="4" w:space="0" w:color="auto"/>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(7.9%)</w:t>
            </w:r>
          </w:p>
        </w:tc>
        <w:tc>
          <w:tcPr>
            <w:tcW w:w="499" w:type="dxa"/>
            <w:tcBorders>
              <w:top w:val="nil"/>
              <w:left w:val="single" w:sz="4" w:space="0" w:color="auto"/>
              <w:bottom w:val="single" w:sz="4" w:space="0" w:color="auto"/>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24</w:t>
            </w:r>
          </w:p>
        </w:tc>
        <w:tc>
          <w:tcPr>
            <w:tcW w:w="822" w:type="dxa"/>
            <w:tcBorders>
              <w:top w:val="nil"/>
              <w:left w:val="nil"/>
              <w:bottom w:val="single" w:sz="4" w:space="0" w:color="auto"/>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(7.3%)</w:t>
            </w:r>
          </w:p>
        </w:tc>
        <w:tc>
          <w:tcPr>
            <w:tcW w:w="467" w:type="dxa"/>
            <w:tcBorders>
              <w:top w:val="nil"/>
              <w:left w:val="single" w:sz="4" w:space="0" w:color="auto"/>
              <w:bottom w:val="single" w:sz="4" w:space="0" w:color="auto"/>
              <w:right w:val="nil"/>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16</w:t>
            </w:r>
          </w:p>
        </w:tc>
        <w:tc>
          <w:tcPr>
            <w:tcW w:w="822" w:type="dxa"/>
            <w:tcBorders>
              <w:top w:val="nil"/>
              <w:left w:val="nil"/>
              <w:bottom w:val="single" w:sz="4" w:space="0" w:color="auto"/>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(4.8%)</w:t>
            </w:r>
          </w:p>
        </w:tc>
        <w:tc>
          <w:tcPr>
            <w:tcW w:w="606" w:type="dxa"/>
            <w:tcBorders>
              <w:top w:val="nil"/>
              <w:left w:val="single" w:sz="4" w:space="0" w:color="auto"/>
              <w:bottom w:val="single" w:sz="4" w:space="0" w:color="auto"/>
              <w:right w:val="single" w:sz="4" w:space="0" w:color="auto"/>
            </w:tcBorders>
            <w:shd w:val="clear" w:color="auto" w:fill="FFFFFF"/>
            <w:tcMar>
              <w:top w:w="0" w:type="dxa"/>
              <w:left w:w="67" w:type="dxa"/>
              <w:bottom w:w="0" w:type="dxa"/>
              <w:right w:w="67" w:type="dxa"/>
            </w:tcMar>
            <w:vAlign w:val="center"/>
            <w:hideMark/>
          </w:tcPr>
          <w:p w:rsidR="0020362D" w:rsidRDefault="0020362D">
            <w:pPr>
              <w:adjustRightInd w:val="0"/>
              <w:spacing w:before="67" w:after="67"/>
              <w:jc w:val="center"/>
              <w:rPr>
                <w:rFonts w:ascii="Arial" w:hAnsi="Arial" w:cs="Arial"/>
                <w:color w:val="000000"/>
                <w:sz w:val="18"/>
                <w:szCs w:val="19"/>
              </w:rPr>
            </w:pPr>
            <w:r>
              <w:rPr>
                <w:rFonts w:ascii="Arial" w:hAnsi="Arial" w:cs="Arial"/>
                <w:color w:val="000000"/>
                <w:sz w:val="18"/>
                <w:szCs w:val="19"/>
              </w:rPr>
              <w:t>331</w:t>
            </w:r>
          </w:p>
        </w:tc>
      </w:tr>
      <w:tr w:rsidR="0020362D" w:rsidTr="0020362D">
        <w:trPr>
          <w:cantSplit/>
          <w:jc w:val="center"/>
        </w:trPr>
        <w:tc>
          <w:tcPr>
            <w:tcW w:w="9384" w:type="dxa"/>
            <w:gridSpan w:val="14"/>
            <w:tcBorders>
              <w:top w:val="nil"/>
              <w:left w:val="single" w:sz="4" w:space="0" w:color="auto"/>
              <w:bottom w:val="nil"/>
              <w:right w:val="single" w:sz="4" w:space="0" w:color="auto"/>
            </w:tcBorders>
            <w:shd w:val="clear" w:color="auto" w:fill="FFFFFF"/>
            <w:tcMar>
              <w:top w:w="0" w:type="dxa"/>
              <w:left w:w="10" w:type="dxa"/>
              <w:bottom w:w="0" w:type="dxa"/>
              <w:right w:w="10" w:type="dxa"/>
            </w:tcMar>
            <w:vAlign w:val="center"/>
            <w:hideMark/>
          </w:tcPr>
          <w:p w:rsidR="0020362D" w:rsidRDefault="0020362D">
            <w:pPr>
              <w:adjustRightInd w:val="0"/>
              <w:spacing w:before="20" w:after="20"/>
              <w:rPr>
                <w:rFonts w:ascii="Arial" w:hAnsi="Arial" w:cs="Arial"/>
                <w:bCs/>
                <w:i/>
                <w:iCs/>
                <w:color w:val="000000"/>
                <w:sz w:val="14"/>
                <w:szCs w:val="19"/>
              </w:rPr>
            </w:pPr>
            <w:r>
              <w:rPr>
                <w:rFonts w:ascii="Arial" w:hAnsi="Arial" w:cs="Arial"/>
                <w:bCs/>
                <w:i/>
                <w:iCs/>
                <w:color w:val="000000"/>
                <w:sz w:val="14"/>
                <w:szCs w:val="19"/>
              </w:rPr>
              <w:t>* Days Since Last Contact Measured from October 1, 2012</w:t>
            </w:r>
          </w:p>
        </w:tc>
      </w:tr>
      <w:tr w:rsidR="0020362D" w:rsidTr="0020362D">
        <w:trPr>
          <w:cantSplit/>
          <w:jc w:val="center"/>
        </w:trPr>
        <w:tc>
          <w:tcPr>
            <w:tcW w:w="9384" w:type="dxa"/>
            <w:gridSpan w:val="14"/>
            <w:tcBorders>
              <w:top w:val="nil"/>
              <w:left w:val="single" w:sz="4" w:space="0" w:color="auto"/>
              <w:bottom w:val="nil"/>
              <w:right w:val="single" w:sz="4" w:space="0" w:color="auto"/>
            </w:tcBorders>
            <w:shd w:val="clear" w:color="auto" w:fill="FFFFFF"/>
            <w:tcMar>
              <w:top w:w="0" w:type="dxa"/>
              <w:left w:w="10" w:type="dxa"/>
              <w:bottom w:w="0" w:type="dxa"/>
              <w:right w:w="10" w:type="dxa"/>
            </w:tcMar>
            <w:vAlign w:val="center"/>
            <w:hideMark/>
          </w:tcPr>
          <w:p w:rsidR="0020362D" w:rsidRDefault="0020362D">
            <w:pPr>
              <w:keepNext/>
              <w:adjustRightInd w:val="0"/>
              <w:spacing w:before="20" w:after="20"/>
              <w:rPr>
                <w:rFonts w:ascii="Arial" w:hAnsi="Arial" w:cs="Arial"/>
                <w:bCs/>
                <w:i/>
                <w:iCs/>
                <w:color w:val="000000"/>
                <w:sz w:val="14"/>
                <w:szCs w:val="19"/>
              </w:rPr>
            </w:pPr>
            <w:r>
              <w:rPr>
                <w:rFonts w:ascii="Arial" w:hAnsi="Arial" w:cs="Arial"/>
                <w:bCs/>
                <w:i/>
                <w:iCs/>
                <w:color w:val="000000"/>
                <w:sz w:val="14"/>
                <w:szCs w:val="19"/>
              </w:rPr>
              <w:t>Most Recently Recorded Dates of Last Contact:</w:t>
            </w:r>
          </w:p>
        </w:tc>
      </w:tr>
      <w:tr w:rsidR="0020362D" w:rsidTr="0020362D">
        <w:trPr>
          <w:cantSplit/>
          <w:jc w:val="center"/>
        </w:trPr>
        <w:tc>
          <w:tcPr>
            <w:tcW w:w="9384" w:type="dxa"/>
            <w:gridSpan w:val="14"/>
            <w:tcBorders>
              <w:top w:val="nil"/>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20362D" w:rsidRDefault="0020362D">
            <w:pPr>
              <w:adjustRightInd w:val="0"/>
              <w:spacing w:before="20" w:after="20"/>
              <w:rPr>
                <w:rFonts w:ascii="Arial" w:hAnsi="Arial" w:cs="Arial"/>
                <w:bCs/>
                <w:i/>
                <w:iCs/>
                <w:color w:val="000000"/>
                <w:sz w:val="14"/>
                <w:szCs w:val="19"/>
              </w:rPr>
            </w:pPr>
            <w:r>
              <w:rPr>
                <w:rFonts w:ascii="Arial" w:hAnsi="Arial" w:cs="Arial"/>
                <w:bCs/>
                <w:i/>
                <w:iCs/>
                <w:color w:val="000000"/>
                <w:sz w:val="14"/>
                <w:szCs w:val="19"/>
              </w:rPr>
              <w:t>TT1-September 26, 2012, TT2-September 27, 2012, TT3-September 27, 2012</w:t>
            </w:r>
          </w:p>
        </w:tc>
      </w:tr>
    </w:tbl>
    <w:p w:rsidR="00AD5F31" w:rsidRPr="00AD5F31" w:rsidRDefault="00AD5F31" w:rsidP="0020362D">
      <w:pPr>
        <w:rPr>
          <w:rFonts w:ascii="Arial" w:hAnsi="Arial" w:cs="Arial"/>
        </w:rPr>
      </w:pPr>
    </w:p>
    <w:p w:rsidR="0020362D" w:rsidRPr="00FD5D81" w:rsidRDefault="00AD5F31" w:rsidP="0020362D">
      <w:pPr>
        <w:rPr>
          <w:rFonts w:ascii="Arial" w:hAnsi="Arial" w:cs="Arial"/>
          <w:b/>
          <w:sz w:val="20"/>
          <w:szCs w:val="20"/>
          <w:u w:val="single"/>
          <w:lang w:val="it-IT"/>
        </w:rPr>
      </w:pPr>
      <w:r w:rsidRPr="00FD5D81">
        <w:rPr>
          <w:rFonts w:ascii="Arial" w:hAnsi="Arial" w:cs="Arial"/>
          <w:b/>
          <w:sz w:val="20"/>
          <w:szCs w:val="20"/>
          <w:u w:val="single"/>
        </w:rPr>
        <w:t>Table 2.</w:t>
      </w:r>
      <w:r w:rsidR="00FD5D81" w:rsidRPr="00FD5D81">
        <w:rPr>
          <w:rFonts w:ascii="Arial" w:hAnsi="Arial" w:cs="Arial"/>
          <w:b/>
          <w:sz w:val="20"/>
          <w:szCs w:val="20"/>
          <w:u w:val="single"/>
        </w:rPr>
        <w:t xml:space="preserve"> </w:t>
      </w:r>
      <w:r w:rsidRPr="00FD5D81">
        <w:rPr>
          <w:rFonts w:ascii="Arial" w:hAnsi="Arial" w:cs="Arial"/>
          <w:sz w:val="20"/>
          <w:szCs w:val="20"/>
          <w:u w:val="single"/>
        </w:rPr>
        <w:t xml:space="preserve"> </w:t>
      </w:r>
      <w:r w:rsidR="00FD5D81" w:rsidRPr="00FD5D81">
        <w:rPr>
          <w:rFonts w:ascii="Arial" w:hAnsi="Arial" w:cs="Arial"/>
          <w:b/>
          <w:sz w:val="20"/>
          <w:szCs w:val="20"/>
          <w:u w:val="single"/>
        </w:rPr>
        <w:t xml:space="preserve">Weiss </w:t>
      </w:r>
      <w:r w:rsidRPr="00FD5D81">
        <w:rPr>
          <w:rFonts w:ascii="Arial" w:hAnsi="Arial" w:cs="Arial"/>
          <w:b/>
          <w:sz w:val="20"/>
          <w:szCs w:val="20"/>
          <w:u w:val="single"/>
          <w:lang w:val="it-IT"/>
        </w:rPr>
        <w:t>Audit Dates,</w:t>
      </w:r>
      <w:r w:rsidR="00FD5D81" w:rsidRPr="00FD5D81">
        <w:rPr>
          <w:rFonts w:ascii="Arial" w:hAnsi="Arial" w:cs="Arial"/>
          <w:b/>
          <w:sz w:val="20"/>
          <w:szCs w:val="20"/>
          <w:u w:val="single"/>
          <w:lang w:val="it-IT"/>
        </w:rPr>
        <w:t xml:space="preserve"> </w:t>
      </w:r>
      <w:r w:rsidRPr="00FD5D81">
        <w:rPr>
          <w:rFonts w:ascii="Arial" w:hAnsi="Arial" w:cs="Arial"/>
          <w:b/>
          <w:sz w:val="20"/>
          <w:szCs w:val="20"/>
          <w:u w:val="single"/>
          <w:lang w:val="it-IT"/>
        </w:rPr>
        <w:t>Total Therapy Protocols</w:t>
      </w:r>
    </w:p>
    <w:tbl>
      <w:tblPr>
        <w:tblStyle w:val="TableGrid"/>
        <w:tblW w:w="0" w:type="auto"/>
        <w:tblLook w:val="0000"/>
      </w:tblPr>
      <w:tblGrid>
        <w:gridCol w:w="1998"/>
        <w:gridCol w:w="1980"/>
        <w:gridCol w:w="1890"/>
        <w:gridCol w:w="1890"/>
      </w:tblGrid>
      <w:tr w:rsidR="00FD5D81" w:rsidTr="005E0D3C">
        <w:trPr>
          <w:trHeight w:val="165"/>
        </w:trPr>
        <w:tc>
          <w:tcPr>
            <w:tcW w:w="7758" w:type="dxa"/>
            <w:gridSpan w:val="4"/>
          </w:tcPr>
          <w:p w:rsidR="00FD5D81" w:rsidRPr="007C100D" w:rsidRDefault="00FD5D81" w:rsidP="005E0D3C">
            <w:pPr>
              <w:contextualSpacing/>
              <w:jc w:val="both"/>
              <w:rPr>
                <w:rFonts w:ascii="Arial" w:hAnsi="Arial" w:cs="Arial"/>
                <w:sz w:val="16"/>
                <w:szCs w:val="16"/>
              </w:rPr>
            </w:pPr>
            <w:r w:rsidRPr="007C100D">
              <w:rPr>
                <w:rFonts w:ascii="Arial" w:hAnsi="Arial" w:cs="Arial"/>
                <w:sz w:val="16"/>
                <w:szCs w:val="16"/>
              </w:rPr>
              <w:t>Audits conducted by Raymond B. Weiss, MD, FACP (Audit Team Leader)</w:t>
            </w:r>
          </w:p>
          <w:p w:rsidR="00FD5D81" w:rsidRPr="007C100D" w:rsidRDefault="00FD5D81" w:rsidP="005E0D3C">
            <w:pPr>
              <w:spacing w:beforeAutospacing="0" w:afterAutospacing="0"/>
              <w:contextualSpacing/>
              <w:jc w:val="both"/>
              <w:rPr>
                <w:rFonts w:ascii="Arial" w:hAnsi="Arial" w:cs="Arial"/>
                <w:sz w:val="20"/>
                <w:szCs w:val="20"/>
              </w:rPr>
            </w:pPr>
            <w:r w:rsidRPr="007C100D">
              <w:rPr>
                <w:rFonts w:ascii="Arial" w:hAnsi="Arial" w:cs="Arial"/>
                <w:sz w:val="16"/>
                <w:szCs w:val="16"/>
              </w:rPr>
              <w:t>Clinical Professor of Medicine, Georgetown University Medical Center, Washington, DC; Independent Consultant in Oncology, Rockville, MD</w:t>
            </w:r>
          </w:p>
        </w:tc>
      </w:tr>
      <w:tr w:rsidR="00FD5D81" w:rsidRPr="001E4A7D" w:rsidTr="005E0D3C">
        <w:tblPrEx>
          <w:tblLook w:val="04A0"/>
        </w:tblPrEx>
        <w:tc>
          <w:tcPr>
            <w:tcW w:w="1998" w:type="dxa"/>
          </w:tcPr>
          <w:p w:rsidR="00FD5D81" w:rsidRPr="007C100D" w:rsidRDefault="00FD5D81" w:rsidP="005E0D3C">
            <w:pPr>
              <w:contextualSpacing/>
              <w:rPr>
                <w:rFonts w:ascii="Arial" w:hAnsi="Arial" w:cs="Arial"/>
                <w:b/>
                <w:sz w:val="20"/>
                <w:szCs w:val="20"/>
              </w:rPr>
            </w:pPr>
            <w:r w:rsidRPr="007C100D">
              <w:rPr>
                <w:rFonts w:ascii="Arial" w:hAnsi="Arial" w:cs="Arial"/>
                <w:b/>
                <w:sz w:val="20"/>
                <w:szCs w:val="20"/>
              </w:rPr>
              <w:t>TT2</w:t>
            </w:r>
          </w:p>
        </w:tc>
        <w:tc>
          <w:tcPr>
            <w:tcW w:w="1980" w:type="dxa"/>
          </w:tcPr>
          <w:p w:rsidR="00FD5D81" w:rsidRPr="007C100D" w:rsidRDefault="00FD5D81" w:rsidP="005E0D3C">
            <w:pPr>
              <w:contextualSpacing/>
              <w:rPr>
                <w:rFonts w:ascii="Arial" w:hAnsi="Arial" w:cs="Arial"/>
                <w:b/>
                <w:sz w:val="20"/>
                <w:szCs w:val="20"/>
              </w:rPr>
            </w:pPr>
            <w:r w:rsidRPr="007C100D">
              <w:rPr>
                <w:rFonts w:ascii="Arial" w:hAnsi="Arial" w:cs="Arial"/>
                <w:b/>
                <w:sz w:val="20"/>
                <w:szCs w:val="20"/>
              </w:rPr>
              <w:t>TT3a</w:t>
            </w:r>
          </w:p>
        </w:tc>
        <w:tc>
          <w:tcPr>
            <w:tcW w:w="1890" w:type="dxa"/>
          </w:tcPr>
          <w:p w:rsidR="00FD5D81" w:rsidRPr="007C100D" w:rsidRDefault="00FD5D81" w:rsidP="005E0D3C">
            <w:pPr>
              <w:contextualSpacing/>
              <w:rPr>
                <w:rFonts w:ascii="Arial" w:hAnsi="Arial" w:cs="Arial"/>
                <w:b/>
                <w:sz w:val="20"/>
                <w:szCs w:val="20"/>
              </w:rPr>
            </w:pPr>
            <w:r w:rsidRPr="007C100D">
              <w:rPr>
                <w:rFonts w:ascii="Arial" w:hAnsi="Arial" w:cs="Arial"/>
                <w:b/>
                <w:sz w:val="20"/>
                <w:szCs w:val="20"/>
              </w:rPr>
              <w:t>TT3b</w:t>
            </w:r>
          </w:p>
        </w:tc>
        <w:tc>
          <w:tcPr>
            <w:tcW w:w="1890" w:type="dxa"/>
          </w:tcPr>
          <w:p w:rsidR="00FD5D81" w:rsidRPr="007C100D" w:rsidRDefault="00FD5D81" w:rsidP="005E0D3C">
            <w:pPr>
              <w:contextualSpacing/>
              <w:rPr>
                <w:rFonts w:ascii="Arial" w:hAnsi="Arial" w:cs="Arial"/>
                <w:b/>
                <w:sz w:val="20"/>
                <w:szCs w:val="20"/>
              </w:rPr>
            </w:pPr>
            <w:r w:rsidRPr="007C100D">
              <w:rPr>
                <w:rFonts w:ascii="Arial" w:hAnsi="Arial" w:cs="Arial"/>
                <w:b/>
                <w:sz w:val="20"/>
                <w:szCs w:val="20"/>
              </w:rPr>
              <w:t>TT4, TT5, TT6</w:t>
            </w:r>
          </w:p>
        </w:tc>
      </w:tr>
      <w:tr w:rsidR="00FD5D81" w:rsidTr="005E0D3C">
        <w:tblPrEx>
          <w:tblLook w:val="04A0"/>
        </w:tblPrEx>
        <w:tc>
          <w:tcPr>
            <w:tcW w:w="1998" w:type="dxa"/>
          </w:tcPr>
          <w:p w:rsidR="00FD5D81" w:rsidRPr="007C100D" w:rsidRDefault="00FD5D81" w:rsidP="005E0D3C">
            <w:pPr>
              <w:contextualSpacing/>
              <w:rPr>
                <w:rFonts w:ascii="Arial" w:hAnsi="Arial" w:cs="Arial"/>
                <w:sz w:val="20"/>
                <w:szCs w:val="20"/>
              </w:rPr>
            </w:pPr>
            <w:r w:rsidRPr="007C100D">
              <w:rPr>
                <w:rFonts w:ascii="Arial" w:hAnsi="Arial" w:cs="Arial"/>
                <w:sz w:val="20"/>
                <w:szCs w:val="20"/>
              </w:rPr>
              <w:t>10 OCT 2001</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27 MAR 2002</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16 OCT 2002</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08 APR 2003</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02 JUL 2003</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08 OCT 2003</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02 APR 2004</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04 NOV 2004</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29 APR 2005</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19 OCT 2005</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29 MAR 2006</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09 NOV 2009</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18 APR 2007</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10 OCT 2007</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02 APR 2008</w:t>
            </w:r>
          </w:p>
        </w:tc>
        <w:tc>
          <w:tcPr>
            <w:tcW w:w="1980" w:type="dxa"/>
          </w:tcPr>
          <w:p w:rsidR="00FD5D81" w:rsidRPr="007C100D" w:rsidRDefault="00FD5D81" w:rsidP="005E0D3C">
            <w:pPr>
              <w:contextualSpacing/>
              <w:rPr>
                <w:rFonts w:ascii="Arial" w:hAnsi="Arial" w:cs="Arial"/>
                <w:sz w:val="20"/>
                <w:szCs w:val="20"/>
              </w:rPr>
            </w:pPr>
            <w:r w:rsidRPr="007C100D">
              <w:rPr>
                <w:rFonts w:ascii="Arial" w:hAnsi="Arial" w:cs="Arial"/>
                <w:sz w:val="20"/>
                <w:szCs w:val="20"/>
              </w:rPr>
              <w:t xml:space="preserve">04 NOV 2004 </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 xml:space="preserve">20 APR 2005 </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 xml:space="preserve">19 OCT 2005 </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 xml:space="preserve">29 MAR 2006 </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 xml:space="preserve">09 NOV 2006 </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 xml:space="preserve">18 APR 2007 </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 xml:space="preserve">10 OCT 2007 </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 xml:space="preserve">02 APR 2008 </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 xml:space="preserve">28 JAN 2009 </w:t>
            </w:r>
          </w:p>
          <w:p w:rsidR="00FD5D81" w:rsidRPr="007C100D" w:rsidRDefault="00FD5D81" w:rsidP="005E0D3C">
            <w:pPr>
              <w:contextualSpacing/>
              <w:rPr>
                <w:rFonts w:ascii="Arial" w:hAnsi="Arial" w:cs="Arial"/>
                <w:sz w:val="20"/>
                <w:szCs w:val="20"/>
              </w:rPr>
            </w:pPr>
          </w:p>
        </w:tc>
        <w:tc>
          <w:tcPr>
            <w:tcW w:w="1890" w:type="dxa"/>
          </w:tcPr>
          <w:p w:rsidR="00FD5D81" w:rsidRPr="007C100D" w:rsidRDefault="00FD5D81" w:rsidP="005E0D3C">
            <w:pPr>
              <w:contextualSpacing/>
              <w:rPr>
                <w:rFonts w:ascii="Arial" w:hAnsi="Arial" w:cs="Arial"/>
                <w:sz w:val="20"/>
                <w:szCs w:val="20"/>
                <w:u w:val="single"/>
              </w:rPr>
            </w:pPr>
            <w:r w:rsidRPr="007C100D">
              <w:rPr>
                <w:rFonts w:ascii="Arial" w:hAnsi="Arial" w:cs="Arial"/>
                <w:sz w:val="20"/>
                <w:szCs w:val="20"/>
              </w:rPr>
              <w:t>17 APR 2007</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10 OCT 2007</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02 APR 2008</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28 JAN 2009</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14 OCT 2009</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21 APR 2010</w:t>
            </w:r>
          </w:p>
          <w:p w:rsidR="00FD5D81" w:rsidRPr="007C100D" w:rsidRDefault="00FD5D81" w:rsidP="005E0D3C">
            <w:pPr>
              <w:contextualSpacing/>
              <w:rPr>
                <w:rFonts w:ascii="Arial" w:hAnsi="Arial" w:cs="Arial"/>
                <w:sz w:val="20"/>
                <w:szCs w:val="20"/>
              </w:rPr>
            </w:pPr>
          </w:p>
        </w:tc>
        <w:tc>
          <w:tcPr>
            <w:tcW w:w="1890" w:type="dxa"/>
          </w:tcPr>
          <w:p w:rsidR="00FD5D81" w:rsidRPr="007C100D" w:rsidRDefault="00FD5D81" w:rsidP="005E0D3C">
            <w:pPr>
              <w:contextualSpacing/>
              <w:rPr>
                <w:rFonts w:ascii="Arial" w:hAnsi="Arial" w:cs="Arial"/>
                <w:sz w:val="20"/>
                <w:szCs w:val="20"/>
              </w:rPr>
            </w:pPr>
            <w:r w:rsidRPr="007C100D">
              <w:rPr>
                <w:rFonts w:ascii="Arial" w:hAnsi="Arial" w:cs="Arial"/>
                <w:sz w:val="20"/>
                <w:szCs w:val="20"/>
              </w:rPr>
              <w:t>28 JAN 2009</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14 OCT 2009</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21 APR 2010</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10 OCT 2010</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8 APR 2011</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26 OCT 2011</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25 APR 2012</w:t>
            </w:r>
          </w:p>
          <w:p w:rsidR="00FD5D81" w:rsidRPr="007C100D" w:rsidRDefault="00FD5D81" w:rsidP="005E0D3C">
            <w:pPr>
              <w:contextualSpacing/>
              <w:rPr>
                <w:rFonts w:ascii="Arial" w:hAnsi="Arial" w:cs="Arial"/>
                <w:sz w:val="20"/>
                <w:szCs w:val="20"/>
              </w:rPr>
            </w:pPr>
            <w:r w:rsidRPr="007C100D">
              <w:rPr>
                <w:rFonts w:ascii="Arial" w:hAnsi="Arial" w:cs="Arial"/>
                <w:sz w:val="20"/>
                <w:szCs w:val="20"/>
              </w:rPr>
              <w:t>5 OCT 2012</w:t>
            </w:r>
          </w:p>
          <w:p w:rsidR="00FD5D81" w:rsidRPr="007C100D" w:rsidRDefault="00FD5D81" w:rsidP="005E0D3C">
            <w:pPr>
              <w:contextualSpacing/>
              <w:rPr>
                <w:rFonts w:ascii="Arial" w:hAnsi="Arial" w:cs="Arial"/>
                <w:sz w:val="20"/>
                <w:szCs w:val="20"/>
              </w:rPr>
            </w:pPr>
          </w:p>
        </w:tc>
      </w:tr>
    </w:tbl>
    <w:p w:rsidR="004025E9" w:rsidRDefault="004025E9" w:rsidP="00FD5D81">
      <w:pPr>
        <w:spacing w:line="240" w:lineRule="auto"/>
        <w:contextualSpacing/>
        <w:rPr>
          <w:rFonts w:ascii="Arial" w:hAnsi="Arial" w:cs="Arial"/>
          <w:sz w:val="20"/>
          <w:szCs w:val="20"/>
          <w:lang w:val="it-IT"/>
        </w:rPr>
      </w:pPr>
    </w:p>
    <w:p w:rsidR="00FD5D81" w:rsidRDefault="005E0D3C" w:rsidP="00FD5D81">
      <w:pPr>
        <w:spacing w:line="240" w:lineRule="auto"/>
        <w:contextualSpacing/>
        <w:rPr>
          <w:rFonts w:ascii="Times New Roman" w:hAnsi="Times New Roman" w:cs="Times New Roman"/>
          <w:sz w:val="24"/>
          <w:szCs w:val="24"/>
        </w:rPr>
      </w:pPr>
      <w:r w:rsidRPr="005E0D3C">
        <w:rPr>
          <w:rFonts w:ascii="Arial" w:hAnsi="Arial" w:cs="Arial"/>
          <w:sz w:val="20"/>
          <w:szCs w:val="20"/>
          <w:lang w:val="it-IT"/>
        </w:rPr>
        <w:t xml:space="preserve">Again, </w:t>
      </w:r>
      <w:r w:rsidR="004025E9">
        <w:rPr>
          <w:rFonts w:ascii="Arial" w:hAnsi="Arial" w:cs="Arial"/>
          <w:sz w:val="20"/>
          <w:szCs w:val="20"/>
          <w:lang w:val="it-IT"/>
        </w:rPr>
        <w:t>the focus at MIRT is on providing patients with optimal outcomes and quality of life</w:t>
      </w:r>
      <w:bookmarkStart w:id="1" w:name="_GoBack"/>
      <w:bookmarkEnd w:id="1"/>
      <w:r w:rsidR="004025E9">
        <w:rPr>
          <w:rFonts w:ascii="Arial" w:hAnsi="Arial" w:cs="Arial"/>
          <w:sz w:val="20"/>
          <w:szCs w:val="20"/>
          <w:lang w:val="it-IT"/>
        </w:rPr>
        <w:t xml:space="preserve"> </w:t>
      </w:r>
      <w:r w:rsidR="00AF7014">
        <w:rPr>
          <w:rFonts w:ascii="Arial" w:hAnsi="Arial" w:cs="Arial"/>
          <w:sz w:val="20"/>
          <w:szCs w:val="20"/>
          <w:lang w:val="it-IT"/>
        </w:rPr>
        <w:t>while maintaining safe practices</w:t>
      </w:r>
      <w:r w:rsidR="004025E9">
        <w:rPr>
          <w:rFonts w:ascii="Arial" w:hAnsi="Arial" w:cs="Arial"/>
          <w:sz w:val="20"/>
          <w:szCs w:val="20"/>
          <w:lang w:val="it-IT"/>
        </w:rPr>
        <w:t xml:space="preserve"> and strict adherence to </w:t>
      </w:r>
      <w:r w:rsidR="00AF7014">
        <w:rPr>
          <w:rFonts w:ascii="Arial" w:hAnsi="Arial" w:cs="Arial"/>
          <w:sz w:val="20"/>
          <w:szCs w:val="20"/>
          <w:lang w:val="it-IT"/>
        </w:rPr>
        <w:t>protocol methodology. Our commitment to continuing to develop curative treatments is paramount.</w:t>
      </w:r>
    </w:p>
    <w:p w:rsidR="00FD5D81" w:rsidRDefault="00FD5D81" w:rsidP="00FD5D81">
      <w:pPr>
        <w:spacing w:line="240" w:lineRule="auto"/>
        <w:contextualSpacing/>
        <w:rPr>
          <w:rFonts w:ascii="Times New Roman" w:hAnsi="Times New Roman" w:cs="Times New Roman"/>
          <w:sz w:val="24"/>
          <w:szCs w:val="24"/>
        </w:rPr>
      </w:pPr>
    </w:p>
    <w:p w:rsidR="00B94E3B" w:rsidRPr="00A32673" w:rsidRDefault="00B94E3B" w:rsidP="00FD5D81">
      <w:pPr>
        <w:spacing w:line="240" w:lineRule="auto"/>
        <w:contextualSpacing/>
        <w:rPr>
          <w:rFonts w:ascii="Arial" w:hAnsi="Arial" w:cs="Arial"/>
          <w:sz w:val="20"/>
          <w:szCs w:val="20"/>
        </w:rPr>
      </w:pPr>
      <w:r w:rsidRPr="00A32673">
        <w:rPr>
          <w:rFonts w:ascii="Arial" w:hAnsi="Arial" w:cs="Arial"/>
          <w:sz w:val="20"/>
          <w:szCs w:val="20"/>
        </w:rPr>
        <w:t>Bart Barlogie, MD, PhD</w:t>
      </w:r>
    </w:p>
    <w:p w:rsidR="00B94E3B" w:rsidRPr="00A32673" w:rsidRDefault="00B94E3B" w:rsidP="00FD5D81">
      <w:pPr>
        <w:spacing w:line="240" w:lineRule="auto"/>
        <w:contextualSpacing/>
        <w:rPr>
          <w:rFonts w:ascii="Arial" w:hAnsi="Arial" w:cs="Arial"/>
          <w:sz w:val="20"/>
          <w:szCs w:val="20"/>
        </w:rPr>
      </w:pPr>
      <w:r w:rsidRPr="00A32673">
        <w:rPr>
          <w:rFonts w:ascii="Arial" w:hAnsi="Arial" w:cs="Arial"/>
          <w:sz w:val="20"/>
          <w:szCs w:val="20"/>
        </w:rPr>
        <w:t>Director, Myeloma Institute for Research and Therapy</w:t>
      </w:r>
    </w:p>
    <w:p w:rsidR="00B94E3B" w:rsidRPr="00A32673" w:rsidRDefault="00B94E3B" w:rsidP="00FD5D81">
      <w:pPr>
        <w:spacing w:line="240" w:lineRule="auto"/>
        <w:contextualSpacing/>
        <w:rPr>
          <w:rFonts w:ascii="Arial" w:hAnsi="Arial" w:cs="Arial"/>
          <w:sz w:val="20"/>
          <w:szCs w:val="20"/>
        </w:rPr>
      </w:pPr>
      <w:r w:rsidRPr="00A32673">
        <w:rPr>
          <w:rFonts w:ascii="Arial" w:hAnsi="Arial" w:cs="Arial"/>
          <w:sz w:val="20"/>
          <w:szCs w:val="20"/>
        </w:rPr>
        <w:t>University of Arkansas for Medical Sciences</w:t>
      </w:r>
    </w:p>
    <w:p w:rsidR="008563BE" w:rsidRPr="00A32673" w:rsidRDefault="008563BE" w:rsidP="00FD5D81">
      <w:pPr>
        <w:spacing w:line="240" w:lineRule="auto"/>
        <w:contextualSpacing/>
        <w:rPr>
          <w:rFonts w:ascii="Arial" w:hAnsi="Arial" w:cs="Arial"/>
          <w:sz w:val="20"/>
          <w:szCs w:val="20"/>
        </w:rPr>
      </w:pPr>
    </w:p>
    <w:p w:rsidR="00B80386" w:rsidRPr="00A32673" w:rsidRDefault="00B80386" w:rsidP="00FD5D81">
      <w:pPr>
        <w:spacing w:line="240" w:lineRule="auto"/>
        <w:contextualSpacing/>
        <w:rPr>
          <w:rFonts w:ascii="Arial" w:hAnsi="Arial" w:cs="Arial"/>
          <w:sz w:val="20"/>
          <w:szCs w:val="20"/>
        </w:rPr>
      </w:pPr>
      <w:r w:rsidRPr="00A32673">
        <w:rPr>
          <w:rFonts w:ascii="Arial" w:hAnsi="Arial" w:cs="Arial"/>
          <w:sz w:val="20"/>
          <w:szCs w:val="20"/>
        </w:rPr>
        <w:t>John Crowley, PhD</w:t>
      </w:r>
    </w:p>
    <w:p w:rsidR="00B80386" w:rsidRPr="00A32673" w:rsidRDefault="00B80386" w:rsidP="00FD5D81">
      <w:pPr>
        <w:spacing w:line="240" w:lineRule="auto"/>
        <w:contextualSpacing/>
        <w:rPr>
          <w:rFonts w:ascii="Arial" w:hAnsi="Arial" w:cs="Arial"/>
          <w:sz w:val="20"/>
          <w:szCs w:val="20"/>
        </w:rPr>
      </w:pPr>
      <w:r w:rsidRPr="00A32673">
        <w:rPr>
          <w:rFonts w:ascii="Arial" w:hAnsi="Arial" w:cs="Arial"/>
          <w:sz w:val="20"/>
          <w:szCs w:val="20"/>
        </w:rPr>
        <w:t>President and Chief Executive Officer</w:t>
      </w:r>
    </w:p>
    <w:p w:rsidR="00B80386" w:rsidRPr="00A32673" w:rsidRDefault="00B80386" w:rsidP="00FD5D81">
      <w:pPr>
        <w:spacing w:line="240" w:lineRule="auto"/>
        <w:contextualSpacing/>
        <w:rPr>
          <w:rFonts w:ascii="Arial" w:hAnsi="Arial" w:cs="Arial"/>
          <w:sz w:val="20"/>
          <w:szCs w:val="20"/>
        </w:rPr>
      </w:pPr>
      <w:r w:rsidRPr="00A32673">
        <w:rPr>
          <w:rFonts w:ascii="Arial" w:hAnsi="Arial" w:cs="Arial"/>
          <w:sz w:val="20"/>
          <w:szCs w:val="20"/>
        </w:rPr>
        <w:t>Cancer Research and Biostatistics</w:t>
      </w:r>
    </w:p>
    <w:p w:rsidR="00703A16" w:rsidRPr="00917852" w:rsidRDefault="00703A16" w:rsidP="00917852">
      <w:pPr>
        <w:spacing w:line="360" w:lineRule="auto"/>
        <w:contextualSpacing/>
        <w:rPr>
          <w:rFonts w:ascii="Times New Roman" w:hAnsi="Times New Roman" w:cs="Times New Roman"/>
          <w:sz w:val="24"/>
          <w:szCs w:val="24"/>
        </w:rPr>
      </w:pPr>
    </w:p>
    <w:sectPr w:rsidR="00703A16" w:rsidRPr="00917852" w:rsidSect="00147D66">
      <w:pgSz w:w="12240" w:h="15840"/>
      <w:pgMar w:top="1152" w:right="144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trackRevisions/>
  <w:defaultTabStop w:val="720"/>
  <w:characterSpacingControl w:val="doNotCompress"/>
  <w:compat/>
  <w:rsids>
    <w:rsidRoot w:val="00EE6200"/>
    <w:rsid w:val="00000AD7"/>
    <w:rsid w:val="000261DE"/>
    <w:rsid w:val="00034B16"/>
    <w:rsid w:val="000519C9"/>
    <w:rsid w:val="00063F73"/>
    <w:rsid w:val="000650B0"/>
    <w:rsid w:val="000703EE"/>
    <w:rsid w:val="000E2677"/>
    <w:rsid w:val="001065EA"/>
    <w:rsid w:val="00147D66"/>
    <w:rsid w:val="001506BB"/>
    <w:rsid w:val="001D2974"/>
    <w:rsid w:val="0020362D"/>
    <w:rsid w:val="0024674C"/>
    <w:rsid w:val="00311A6A"/>
    <w:rsid w:val="00312170"/>
    <w:rsid w:val="00375EC4"/>
    <w:rsid w:val="003D7AD6"/>
    <w:rsid w:val="004025E9"/>
    <w:rsid w:val="0045646C"/>
    <w:rsid w:val="004A4A0C"/>
    <w:rsid w:val="004A7385"/>
    <w:rsid w:val="004C3D5C"/>
    <w:rsid w:val="004F5BBA"/>
    <w:rsid w:val="0050526B"/>
    <w:rsid w:val="005324B3"/>
    <w:rsid w:val="005E0D3C"/>
    <w:rsid w:val="006366F5"/>
    <w:rsid w:val="00654870"/>
    <w:rsid w:val="00664F13"/>
    <w:rsid w:val="006C26E6"/>
    <w:rsid w:val="00703A16"/>
    <w:rsid w:val="007C100D"/>
    <w:rsid w:val="007E37CD"/>
    <w:rsid w:val="007E4A80"/>
    <w:rsid w:val="00821052"/>
    <w:rsid w:val="008563BE"/>
    <w:rsid w:val="008E1725"/>
    <w:rsid w:val="009134CE"/>
    <w:rsid w:val="00917852"/>
    <w:rsid w:val="0096574D"/>
    <w:rsid w:val="009A2ACD"/>
    <w:rsid w:val="009A52CC"/>
    <w:rsid w:val="009E65CB"/>
    <w:rsid w:val="00A1505E"/>
    <w:rsid w:val="00A32673"/>
    <w:rsid w:val="00A7479A"/>
    <w:rsid w:val="00A76E01"/>
    <w:rsid w:val="00AD5F31"/>
    <w:rsid w:val="00AF7014"/>
    <w:rsid w:val="00B62464"/>
    <w:rsid w:val="00B80386"/>
    <w:rsid w:val="00B824C2"/>
    <w:rsid w:val="00B94E3B"/>
    <w:rsid w:val="00BB01F9"/>
    <w:rsid w:val="00BC67D8"/>
    <w:rsid w:val="00C21211"/>
    <w:rsid w:val="00D26518"/>
    <w:rsid w:val="00D26BEC"/>
    <w:rsid w:val="00EE6200"/>
    <w:rsid w:val="00EF7D7B"/>
    <w:rsid w:val="00F72470"/>
    <w:rsid w:val="00FD5D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6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50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05E"/>
    <w:rPr>
      <w:rFonts w:ascii="Tahoma" w:hAnsi="Tahoma" w:cs="Tahoma"/>
      <w:sz w:val="16"/>
      <w:szCs w:val="16"/>
    </w:rPr>
  </w:style>
  <w:style w:type="table" w:styleId="TableGrid">
    <w:name w:val="Table Grid"/>
    <w:basedOn w:val="TableNormal"/>
    <w:uiPriority w:val="59"/>
    <w:rsid w:val="00AD5F31"/>
    <w:pPr>
      <w:spacing w:beforeAutospacing="1" w:after="0" w:afterAutospacing="1" w:line="240" w:lineRule="auto"/>
    </w:pPr>
    <w:rPr>
      <w:rFonts w:ascii="Times New Roma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50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05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27312770">
      <w:bodyDiv w:val="1"/>
      <w:marLeft w:val="0"/>
      <w:marRight w:val="0"/>
      <w:marTop w:val="0"/>
      <w:marBottom w:val="0"/>
      <w:divBdr>
        <w:top w:val="none" w:sz="0" w:space="0" w:color="auto"/>
        <w:left w:val="none" w:sz="0" w:space="0" w:color="auto"/>
        <w:bottom w:val="none" w:sz="0" w:space="0" w:color="auto"/>
        <w:right w:val="none" w:sz="0" w:space="0" w:color="auto"/>
      </w:divBdr>
    </w:div>
    <w:div w:id="213748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D4A21-4680-45EB-AE45-B03C9D98E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681</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CRAB</Company>
  <LinksUpToDate>false</LinksUpToDate>
  <CharactersWithSpaces>4560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johnc (John Crowley)</dc:creator>
  <cp:lastModifiedBy>uams</cp:lastModifiedBy>
  <cp:revision>2</cp:revision>
  <dcterms:created xsi:type="dcterms:W3CDTF">2012-10-05T17:17:00Z</dcterms:created>
  <dcterms:modified xsi:type="dcterms:W3CDTF">2012-10-05T17:17:00Z</dcterms:modified>
</cp:coreProperties>
</file>